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4388E5" w14:textId="1A391FCE"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9933A5">
        <w:t>10</w:t>
      </w:r>
      <w:r w:rsidR="006A77B8">
        <w:t>6</w:t>
      </w:r>
      <w:r w:rsidR="00880E6A">
        <w:t>-e</w:t>
      </w:r>
      <w:r w:rsidRPr="00CE0424">
        <w:tab/>
      </w:r>
      <w:r w:rsidR="00091557" w:rsidRPr="00CE0424">
        <w:rPr>
          <w:sz w:val="32"/>
          <w:szCs w:val="32"/>
        </w:rPr>
        <w:t>R</w:t>
      </w:r>
      <w:r w:rsidR="008F1C4E">
        <w:rPr>
          <w:sz w:val="32"/>
          <w:szCs w:val="32"/>
        </w:rPr>
        <w:t>1</w:t>
      </w:r>
      <w:r w:rsidR="00091557" w:rsidRPr="00CE0424">
        <w:rPr>
          <w:sz w:val="32"/>
          <w:szCs w:val="32"/>
        </w:rPr>
        <w:t>-</w:t>
      </w:r>
      <w:r w:rsidR="008E4BB7" w:rsidRPr="008E4BB7">
        <w:rPr>
          <w:sz w:val="32"/>
          <w:szCs w:val="32"/>
        </w:rPr>
        <w:t>2106568</w:t>
      </w:r>
    </w:p>
    <w:p w14:paraId="0CE7B7E6" w14:textId="1705DC79" w:rsidR="00E90E49" w:rsidRPr="00CE0424" w:rsidRDefault="009933A5" w:rsidP="00311702">
      <w:pPr>
        <w:pStyle w:val="3GPPHeader"/>
      </w:pPr>
      <w:r w:rsidRPr="009933A5">
        <w:t>e-Meeting, 1</w:t>
      </w:r>
      <w:r w:rsidR="006A77B8">
        <w:t>6</w:t>
      </w:r>
      <w:r w:rsidRPr="00F545BB">
        <w:rPr>
          <w:vertAlign w:val="superscript"/>
        </w:rPr>
        <w:t>th</w:t>
      </w:r>
      <w:r w:rsidR="00F545BB">
        <w:t xml:space="preserve"> </w:t>
      </w:r>
      <w:r w:rsidRPr="009933A5">
        <w:t>– 27</w:t>
      </w:r>
      <w:r w:rsidRPr="00F545BB">
        <w:rPr>
          <w:vertAlign w:val="superscript"/>
        </w:rPr>
        <w:t>th</w:t>
      </w:r>
      <w:r w:rsidR="00F545BB">
        <w:t xml:space="preserve"> </w:t>
      </w:r>
      <w:r w:rsidR="006A77B8">
        <w:t>August</w:t>
      </w:r>
      <w:r w:rsidRPr="009933A5">
        <w:t xml:space="preserve"> 2021</w:t>
      </w:r>
    </w:p>
    <w:p w14:paraId="3086AC07" w14:textId="77777777" w:rsidR="00E90E49" w:rsidRPr="00CE0424" w:rsidRDefault="00E90E49" w:rsidP="00ED6081">
      <w:pPr>
        <w:pStyle w:val="3GPPHeader"/>
        <w:jc w:val="left"/>
      </w:pPr>
    </w:p>
    <w:p w14:paraId="3982483C" w14:textId="020D5F8E" w:rsidR="00E90E49" w:rsidRPr="0021536A" w:rsidRDefault="00E90E49" w:rsidP="00ED6081">
      <w:pPr>
        <w:pStyle w:val="3GPPHeader"/>
        <w:jc w:val="left"/>
        <w:rPr>
          <w:sz w:val="22"/>
        </w:rPr>
      </w:pPr>
      <w:r w:rsidRPr="0021536A">
        <w:rPr>
          <w:sz w:val="22"/>
        </w:rPr>
        <w:t>Agenda Item:</w:t>
      </w:r>
      <w:r w:rsidRPr="0021536A">
        <w:rPr>
          <w:sz w:val="22"/>
        </w:rPr>
        <w:tab/>
      </w:r>
      <w:r w:rsidR="009B3F88" w:rsidRPr="0021536A">
        <w:rPr>
          <w:sz w:val="22"/>
        </w:rPr>
        <w:t>8.6.3</w:t>
      </w:r>
    </w:p>
    <w:p w14:paraId="5619E868" w14:textId="1D05C442" w:rsidR="00E90E49" w:rsidRPr="00CE0424" w:rsidRDefault="003D3C45" w:rsidP="00ED6081">
      <w:pPr>
        <w:pStyle w:val="3GPPHeader"/>
        <w:ind w:left="1701" w:hanging="1701"/>
        <w:jc w:val="left"/>
        <w:rPr>
          <w:sz w:val="22"/>
        </w:rPr>
      </w:pPr>
      <w:r>
        <w:rPr>
          <w:sz w:val="22"/>
        </w:rPr>
        <w:t>Source:</w:t>
      </w:r>
      <w:r w:rsidR="00E90E49" w:rsidRPr="00CE0424">
        <w:rPr>
          <w:sz w:val="22"/>
        </w:rPr>
        <w:tab/>
      </w:r>
      <w:r w:rsidR="00F64C2B" w:rsidRPr="00CE0424">
        <w:rPr>
          <w:sz w:val="22"/>
        </w:rPr>
        <w:t>Ericsson</w:t>
      </w:r>
    </w:p>
    <w:p w14:paraId="3AF5C9FA" w14:textId="16140595" w:rsidR="00E90E49" w:rsidRPr="00CE0424" w:rsidRDefault="003D3C45" w:rsidP="00ED6081">
      <w:pPr>
        <w:pStyle w:val="3GPPHeader"/>
        <w:ind w:left="1701" w:hanging="1701"/>
        <w:jc w:val="left"/>
        <w:rPr>
          <w:sz w:val="22"/>
        </w:rPr>
      </w:pPr>
      <w:r>
        <w:rPr>
          <w:sz w:val="22"/>
        </w:rPr>
        <w:t>Title:</w:t>
      </w:r>
      <w:r w:rsidR="00E90E49" w:rsidRPr="00CE0424">
        <w:rPr>
          <w:sz w:val="22"/>
        </w:rPr>
        <w:tab/>
      </w:r>
      <w:r w:rsidR="00112470" w:rsidRPr="00112470">
        <w:rPr>
          <w:sz w:val="22"/>
        </w:rPr>
        <w:t xml:space="preserve">Potential </w:t>
      </w:r>
      <w:r w:rsidR="00427FDA">
        <w:rPr>
          <w:sz w:val="22"/>
        </w:rPr>
        <w:t xml:space="preserve">RedCap </w:t>
      </w:r>
      <w:r w:rsidR="00112470" w:rsidRPr="00112470">
        <w:rPr>
          <w:sz w:val="22"/>
        </w:rPr>
        <w:t>solutions for avoiding or minimizing PUSCH resource fragmentation</w:t>
      </w:r>
      <w:r w:rsidR="0021536A" w:rsidRPr="0021536A">
        <w:rPr>
          <w:sz w:val="22"/>
        </w:rPr>
        <w:t xml:space="preserve">  </w:t>
      </w:r>
    </w:p>
    <w:p w14:paraId="2D5672ED" w14:textId="01626A45" w:rsidR="00E90E49" w:rsidRPr="00432886" w:rsidRDefault="00E90E49" w:rsidP="00432886">
      <w:pPr>
        <w:pStyle w:val="3GPPHeader"/>
        <w:jc w:val="left"/>
        <w:rPr>
          <w:sz w:val="22"/>
        </w:rPr>
      </w:pPr>
      <w:r w:rsidRPr="00CE0424">
        <w:rPr>
          <w:sz w:val="22"/>
        </w:rPr>
        <w:t>Document for:</w:t>
      </w:r>
      <w:r w:rsidRPr="00CE0424">
        <w:rPr>
          <w:sz w:val="22"/>
        </w:rPr>
        <w:tab/>
      </w:r>
      <w:r w:rsidRPr="009B3F88">
        <w:rPr>
          <w:sz w:val="22"/>
        </w:rPr>
        <w:t>Discussion, Decision</w:t>
      </w:r>
    </w:p>
    <w:p w14:paraId="6883CB62" w14:textId="77777777" w:rsidR="00E90E49" w:rsidRPr="00CE0424" w:rsidRDefault="00230D18" w:rsidP="00CE0424">
      <w:pPr>
        <w:pStyle w:val="Heading1"/>
      </w:pPr>
      <w:r>
        <w:t>1</w:t>
      </w:r>
      <w:r>
        <w:tab/>
      </w:r>
      <w:r w:rsidR="00E90E49" w:rsidRPr="00CE0424">
        <w:t>Introduction</w:t>
      </w:r>
    </w:p>
    <w:p w14:paraId="12A1A44E" w14:textId="34A543DE" w:rsidR="00112470" w:rsidRDefault="00B3587A" w:rsidP="00CE0424">
      <w:pPr>
        <w:pStyle w:val="BodyText"/>
      </w:pPr>
      <w:r>
        <w:t xml:space="preserve">In </w:t>
      </w:r>
      <w:r>
        <w:fldChar w:fldCharType="begin"/>
      </w:r>
      <w:r>
        <w:instrText xml:space="preserve"> REF _Ref71124004 \r \h </w:instrText>
      </w:r>
      <w:r>
        <w:fldChar w:fldCharType="separate"/>
      </w:r>
      <w:r w:rsidR="00A96488">
        <w:t>[1]</w:t>
      </w:r>
      <w:r>
        <w:fldChar w:fldCharType="end"/>
      </w:r>
      <w:r>
        <w:t>, the potential problem of PUSCH resource fragmentation is discussed. Many MNOs support the view that if the support for RedCap devices is enabled in a cell</w:t>
      </w:r>
      <w:r w:rsidR="0022414B">
        <w:t>,</w:t>
      </w:r>
      <w:r>
        <w:t xml:space="preserve"> there need</w:t>
      </w:r>
      <w:r w:rsidR="0022414B">
        <w:t>s</w:t>
      </w:r>
      <w:r>
        <w:t xml:space="preserve"> to be a configuration option that allows the cell to avoid PUSCH resource fragmentation. The issue of PUSCH resource fragmentation is captured in </w:t>
      </w:r>
      <w:r w:rsidR="00112470">
        <w:t>the</w:t>
      </w:r>
      <w:r w:rsidR="0002236D">
        <w:t xml:space="preserve"> </w:t>
      </w:r>
      <w:r>
        <w:t xml:space="preserve">RAN1#105e </w:t>
      </w:r>
      <w:r w:rsidR="0002236D">
        <w:t xml:space="preserve">agreement and working assumption </w:t>
      </w:r>
      <w:r>
        <w:t>as follows</w:t>
      </w:r>
      <w:r w:rsidR="00A33D3D">
        <w:t xml:space="preserve"> </w:t>
      </w:r>
      <w:r w:rsidR="00A33D3D">
        <w:fldChar w:fldCharType="begin"/>
      </w:r>
      <w:r w:rsidR="00A33D3D">
        <w:instrText xml:space="preserve"> REF _Ref65144387 \r \h </w:instrText>
      </w:r>
      <w:r w:rsidR="00A33D3D">
        <w:fldChar w:fldCharType="separate"/>
      </w:r>
      <w:r w:rsidR="00A96488">
        <w:t>[1]</w:t>
      </w:r>
      <w:r w:rsidR="00A33D3D">
        <w:fldChar w:fldCharType="end"/>
      </w:r>
      <w:r w:rsidR="0002236D">
        <w:t xml:space="preserve">: </w:t>
      </w:r>
    </w:p>
    <w:tbl>
      <w:tblPr>
        <w:tblStyle w:val="TableGrid"/>
        <w:tblW w:w="0" w:type="auto"/>
        <w:tblLook w:val="04A0" w:firstRow="1" w:lastRow="0" w:firstColumn="1" w:lastColumn="0" w:noHBand="0" w:noVBand="1"/>
      </w:tblPr>
      <w:tblGrid>
        <w:gridCol w:w="9629"/>
      </w:tblGrid>
      <w:tr w:rsidR="00112470" w:rsidRPr="0061410D" w14:paraId="25E0810A" w14:textId="77777777" w:rsidTr="00112470">
        <w:tc>
          <w:tcPr>
            <w:tcW w:w="9629" w:type="dxa"/>
          </w:tcPr>
          <w:p w14:paraId="195DAB8F" w14:textId="77777777" w:rsidR="00112470" w:rsidRPr="006624BA" w:rsidRDefault="00112470" w:rsidP="00112470">
            <w:pPr>
              <w:rPr>
                <w:sz w:val="20"/>
                <w:szCs w:val="20"/>
                <w:lang w:val="en-GB"/>
              </w:rPr>
            </w:pPr>
            <w:r w:rsidRPr="006624BA">
              <w:rPr>
                <w:szCs w:val="20"/>
                <w:highlight w:val="green"/>
                <w:lang w:val="en-GB"/>
              </w:rPr>
              <w:t>Agreements:</w:t>
            </w:r>
          </w:p>
          <w:p w14:paraId="398B4D2A" w14:textId="77777777" w:rsidR="00112470" w:rsidRPr="006624BA" w:rsidRDefault="00112470" w:rsidP="00112470">
            <w:pPr>
              <w:numPr>
                <w:ilvl w:val="0"/>
                <w:numId w:val="28"/>
              </w:numPr>
              <w:spacing w:after="0" w:line="252" w:lineRule="auto"/>
              <w:rPr>
                <w:rFonts w:eastAsia="Times New Roman" w:cs="Times"/>
                <w:sz w:val="20"/>
                <w:szCs w:val="18"/>
                <w:lang w:val="en-GB" w:eastAsia="ja-JP"/>
              </w:rPr>
            </w:pPr>
            <w:r w:rsidRPr="006624BA">
              <w:rPr>
                <w:rFonts w:eastAsia="Times New Roman" w:cs="Times"/>
                <w:szCs w:val="18"/>
                <w:lang w:val="en-GB" w:eastAsia="ja-JP"/>
              </w:rPr>
              <w:t>Both during and after initial access, the scenario where the initial UL BWP for non-RedCap UEs is configured to be wider than the maximum RedCap UE bandwidth is allowed.</w:t>
            </w:r>
          </w:p>
          <w:p w14:paraId="301C1149" w14:textId="77777777" w:rsidR="00112470" w:rsidRPr="006624BA" w:rsidRDefault="00112470" w:rsidP="00112470">
            <w:pPr>
              <w:numPr>
                <w:ilvl w:val="0"/>
                <w:numId w:val="28"/>
              </w:numPr>
              <w:spacing w:after="0" w:line="252" w:lineRule="auto"/>
              <w:rPr>
                <w:rFonts w:eastAsia="Times New Roman" w:cs="Times"/>
                <w:sz w:val="20"/>
                <w:szCs w:val="18"/>
                <w:lang w:val="en-GB" w:eastAsia="ja-JP"/>
              </w:rPr>
            </w:pPr>
            <w:r w:rsidRPr="006624BA">
              <w:rPr>
                <w:rFonts w:eastAsia="Times New Roman" w:cs="Times"/>
                <w:szCs w:val="18"/>
                <w:highlight w:val="darkYellow"/>
                <w:lang w:val="en-GB" w:eastAsia="ja-JP"/>
              </w:rPr>
              <w:t>Working assumption:</w:t>
            </w:r>
            <w:r w:rsidRPr="006624BA">
              <w:rPr>
                <w:rFonts w:eastAsia="Times New Roman" w:cs="Times"/>
                <w:szCs w:val="18"/>
                <w:lang w:val="en-GB" w:eastAsia="ja-JP"/>
              </w:rPr>
              <w:t xml:space="preserve"> Both during and after initial access, for the scenario where the initial UL BWP for non-RedCap UEs is configured to be wider than the RedCap UE bandwidth, a separate initial UL BWP no wider than the RedCap UE maximum bandwidth is configured/defined for RedCap UEs.</w:t>
            </w:r>
          </w:p>
          <w:p w14:paraId="3FCFECDE" w14:textId="77777777" w:rsidR="00112470" w:rsidRPr="006624BA" w:rsidRDefault="00112470" w:rsidP="00112470">
            <w:pPr>
              <w:numPr>
                <w:ilvl w:val="1"/>
                <w:numId w:val="28"/>
              </w:numPr>
              <w:spacing w:after="0" w:line="252" w:lineRule="auto"/>
              <w:rPr>
                <w:rFonts w:eastAsia="Times New Roman" w:cs="Times"/>
                <w:sz w:val="20"/>
                <w:szCs w:val="18"/>
                <w:lang w:val="en-GB" w:eastAsia="ja-JP"/>
              </w:rPr>
            </w:pPr>
            <w:r w:rsidRPr="006624BA">
              <w:rPr>
                <w:rFonts w:eastAsia="Times New Roman" w:cs="Times"/>
                <w:szCs w:val="18"/>
                <w:lang w:val="en-GB" w:eastAsia="ja-JP"/>
              </w:rPr>
              <w:t>FFS: whether/how to avoid or minimize PUSCH resource fragmentation due to PUCCH transmission for the above case</w:t>
            </w:r>
          </w:p>
          <w:p w14:paraId="26BEE834" w14:textId="77777777" w:rsidR="00112470" w:rsidRPr="006624BA" w:rsidRDefault="00112470" w:rsidP="00112470">
            <w:pPr>
              <w:numPr>
                <w:ilvl w:val="1"/>
                <w:numId w:val="28"/>
              </w:numPr>
              <w:spacing w:after="0" w:line="252" w:lineRule="auto"/>
              <w:rPr>
                <w:rFonts w:eastAsia="Times New Roman" w:cs="Times"/>
                <w:sz w:val="20"/>
                <w:szCs w:val="18"/>
                <w:lang w:val="en-GB" w:eastAsia="ja-JP"/>
              </w:rPr>
            </w:pPr>
            <w:r w:rsidRPr="006624BA">
              <w:rPr>
                <w:rFonts w:eastAsia="Times New Roman" w:cs="Times"/>
                <w:szCs w:val="18"/>
                <w:lang w:val="en-GB" w:eastAsia="ja-JP"/>
              </w:rPr>
              <w:t xml:space="preserve">Support the case when the centre frequency is assumed to be the same for the initial DL and UL BWPs in TDD. </w:t>
            </w:r>
          </w:p>
          <w:p w14:paraId="669965BA" w14:textId="1CED17E0" w:rsidR="00112470" w:rsidRPr="006624BA" w:rsidRDefault="00112470" w:rsidP="00CE0424">
            <w:pPr>
              <w:numPr>
                <w:ilvl w:val="2"/>
                <w:numId w:val="28"/>
              </w:numPr>
              <w:spacing w:after="0" w:line="252" w:lineRule="auto"/>
              <w:rPr>
                <w:rFonts w:eastAsia="Times New Roman" w:cs="Times"/>
                <w:szCs w:val="20"/>
                <w:lang w:val="en-GB" w:eastAsia="ja-JP"/>
              </w:rPr>
            </w:pPr>
            <w:r w:rsidRPr="006624BA">
              <w:rPr>
                <w:rFonts w:eastAsia="Times New Roman" w:cs="Times"/>
                <w:szCs w:val="18"/>
                <w:highlight w:val="yellow"/>
                <w:lang w:val="en-GB" w:eastAsia="ja-JP"/>
              </w:rPr>
              <w:t>FFS whether or not to additionally support the case when the centre frequency is different; if so, how to minimize centre frequency retuning</w:t>
            </w:r>
            <w:r w:rsidRPr="006624BA">
              <w:rPr>
                <w:rFonts w:eastAsia="Times New Roman" w:cs="Times"/>
                <w:szCs w:val="18"/>
                <w:lang w:val="en-GB" w:eastAsia="ja-JP"/>
              </w:rPr>
              <w:t xml:space="preserve">  </w:t>
            </w:r>
          </w:p>
        </w:tc>
      </w:tr>
    </w:tbl>
    <w:p w14:paraId="67249C4C" w14:textId="77777777" w:rsidR="00112470" w:rsidRDefault="00112470" w:rsidP="00CE0424">
      <w:pPr>
        <w:pStyle w:val="BodyText"/>
      </w:pPr>
    </w:p>
    <w:p w14:paraId="77683E75" w14:textId="514375A2" w:rsidR="00112470" w:rsidRDefault="0002236D" w:rsidP="00CE0424">
      <w:pPr>
        <w:pStyle w:val="BodyText"/>
      </w:pPr>
      <w:r>
        <w:t xml:space="preserve">One important issue for further study is </w:t>
      </w:r>
      <w:r w:rsidRPr="0002236D">
        <w:t>whether</w:t>
      </w:r>
      <w:r>
        <w:t xml:space="preserve"> and </w:t>
      </w:r>
      <w:r w:rsidRPr="0002236D">
        <w:t>how to avoid or minimize PUSCH resource fragmentation due to PUCCH transmission</w:t>
      </w:r>
      <w:r w:rsidR="0094666A">
        <w:t>s</w:t>
      </w:r>
      <w:r w:rsidRPr="0002236D">
        <w:t xml:space="preserve"> </w:t>
      </w:r>
      <w:r>
        <w:t xml:space="preserve">when </w:t>
      </w:r>
      <w:r w:rsidRPr="0002236D">
        <w:t>a separate initial UL BWP is configured</w:t>
      </w:r>
      <w:r>
        <w:t xml:space="preserve"> or </w:t>
      </w:r>
      <w:r w:rsidRPr="0002236D">
        <w:t>defined for RedCap UEs</w:t>
      </w:r>
      <w:r>
        <w:t>.</w:t>
      </w:r>
      <w:r w:rsidR="00F76177">
        <w:t xml:space="preserve"> To address the aforementioned </w:t>
      </w:r>
      <w:r w:rsidR="00F76177" w:rsidRPr="0002236D">
        <w:t xml:space="preserve">PUSCH resource fragmentation </w:t>
      </w:r>
      <w:r w:rsidR="00F76177">
        <w:t>issue, there are a number of relevant open issues that need to be discussed jointly. One of these open issues is highlighted in the working assumption above.</w:t>
      </w:r>
      <w:r w:rsidR="00AD7C09">
        <w:t xml:space="preserve"> Additional relevant</w:t>
      </w:r>
      <w:r w:rsidR="00F76177">
        <w:t xml:space="preserve"> open issues are </w:t>
      </w:r>
      <w:r w:rsidR="00AD7C09">
        <w:t>highlighted</w:t>
      </w:r>
      <w:r w:rsidR="00F76177">
        <w:t xml:space="preserve"> in the additional agreement and working assumptions below</w:t>
      </w:r>
      <w:r w:rsidR="00AD7C09">
        <w:t>:</w:t>
      </w:r>
    </w:p>
    <w:tbl>
      <w:tblPr>
        <w:tblStyle w:val="TableGrid"/>
        <w:tblW w:w="0" w:type="auto"/>
        <w:tblLook w:val="04A0" w:firstRow="1" w:lastRow="0" w:firstColumn="1" w:lastColumn="0" w:noHBand="0" w:noVBand="1"/>
      </w:tblPr>
      <w:tblGrid>
        <w:gridCol w:w="9629"/>
      </w:tblGrid>
      <w:tr w:rsidR="00F76177" w:rsidRPr="005D698F" w14:paraId="73AC7F7C" w14:textId="77777777" w:rsidTr="00F76177">
        <w:tc>
          <w:tcPr>
            <w:tcW w:w="9629" w:type="dxa"/>
          </w:tcPr>
          <w:p w14:paraId="5F62E5CE" w14:textId="77777777" w:rsidR="00F76177" w:rsidRPr="005D698F" w:rsidRDefault="00F76177" w:rsidP="00F76177">
            <w:pPr>
              <w:rPr>
                <w:rFonts w:cs="Arial"/>
                <w:sz w:val="20"/>
                <w:szCs w:val="20"/>
              </w:rPr>
            </w:pPr>
            <w:r w:rsidRPr="005D698F">
              <w:rPr>
                <w:rFonts w:cs="Arial"/>
                <w:sz w:val="20"/>
                <w:szCs w:val="20"/>
                <w:highlight w:val="darkYellow"/>
              </w:rPr>
              <w:t>Working assumption:</w:t>
            </w:r>
          </w:p>
          <w:p w14:paraId="70170565" w14:textId="77777777" w:rsidR="00F76177" w:rsidRPr="005D698F" w:rsidRDefault="00F76177" w:rsidP="00F76177">
            <w:pPr>
              <w:numPr>
                <w:ilvl w:val="0"/>
                <w:numId w:val="28"/>
              </w:numPr>
              <w:spacing w:after="0" w:line="252" w:lineRule="auto"/>
              <w:rPr>
                <w:rFonts w:cs="Arial"/>
                <w:sz w:val="20"/>
                <w:szCs w:val="20"/>
              </w:rPr>
            </w:pPr>
            <w:r w:rsidRPr="005D698F">
              <w:rPr>
                <w:rFonts w:cs="Arial"/>
                <w:sz w:val="20"/>
                <w:szCs w:val="20"/>
              </w:rPr>
              <w:t>At least for TDD, an initial DL BWP for RedCap UEs (which is not expected to exceed the maximum RedCap UE bandwidth) can be optionally configured/defined separately from the initial DL BWP for non-RedCap UEs at least after initial access</w:t>
            </w:r>
          </w:p>
          <w:p w14:paraId="3E36F3AB" w14:textId="77777777" w:rsidR="00F76177" w:rsidRPr="005D698F" w:rsidRDefault="00F76177" w:rsidP="00F76177">
            <w:pPr>
              <w:numPr>
                <w:ilvl w:val="1"/>
                <w:numId w:val="28"/>
              </w:numPr>
              <w:autoSpaceDN w:val="0"/>
              <w:spacing w:after="0" w:line="252" w:lineRule="auto"/>
              <w:contextualSpacing/>
              <w:rPr>
                <w:rFonts w:cs="Arial"/>
                <w:sz w:val="20"/>
                <w:szCs w:val="20"/>
                <w:lang w:eastAsia="x-none"/>
              </w:rPr>
            </w:pPr>
            <w:r w:rsidRPr="005D698F">
              <w:rPr>
                <w:rFonts w:cs="Arial"/>
                <w:sz w:val="20"/>
                <w:szCs w:val="20"/>
                <w:lang w:eastAsia="x-none"/>
              </w:rPr>
              <w:t>FFS the details of the configuration/definition</w:t>
            </w:r>
          </w:p>
          <w:p w14:paraId="5D2ECA40" w14:textId="77777777" w:rsidR="00F76177" w:rsidRPr="005D698F" w:rsidRDefault="00F76177" w:rsidP="00F76177">
            <w:pPr>
              <w:numPr>
                <w:ilvl w:val="2"/>
                <w:numId w:val="28"/>
              </w:numPr>
              <w:autoSpaceDN w:val="0"/>
              <w:spacing w:after="0" w:line="252" w:lineRule="auto"/>
              <w:contextualSpacing/>
              <w:rPr>
                <w:rFonts w:cs="Arial"/>
                <w:sz w:val="20"/>
                <w:szCs w:val="20"/>
                <w:lang w:eastAsia="x-none"/>
              </w:rPr>
            </w:pPr>
            <w:r w:rsidRPr="005D698F">
              <w:rPr>
                <w:rFonts w:cs="Arial"/>
                <w:sz w:val="20"/>
                <w:szCs w:val="20"/>
                <w:lang w:eastAsia="x-none"/>
              </w:rPr>
              <w:t>The configuration for a separately configured initial DL BWP for RedCap UEs is signaled in SIB.</w:t>
            </w:r>
          </w:p>
          <w:p w14:paraId="6711DF00" w14:textId="77777777" w:rsidR="00F76177" w:rsidRPr="005D698F" w:rsidRDefault="00F76177" w:rsidP="00F76177">
            <w:pPr>
              <w:numPr>
                <w:ilvl w:val="2"/>
                <w:numId w:val="28"/>
              </w:numPr>
              <w:autoSpaceDN w:val="0"/>
              <w:spacing w:after="0" w:line="252" w:lineRule="auto"/>
              <w:contextualSpacing/>
              <w:rPr>
                <w:rFonts w:cs="Arial"/>
                <w:sz w:val="20"/>
                <w:szCs w:val="20"/>
                <w:lang w:eastAsia="x-none"/>
              </w:rPr>
            </w:pPr>
            <w:r w:rsidRPr="005D698F">
              <w:rPr>
                <w:rFonts w:cs="Arial"/>
                <w:sz w:val="20"/>
                <w:szCs w:val="20"/>
                <w:lang w:eastAsia="x-none"/>
              </w:rPr>
              <w:t xml:space="preserve">whether to support that separate initial DL BWP for RedCap UEs can include a configuration of CORESET and CSS(s) </w:t>
            </w:r>
          </w:p>
          <w:p w14:paraId="33A4F677" w14:textId="77777777" w:rsidR="00F76177" w:rsidRPr="005D698F" w:rsidRDefault="00F76177" w:rsidP="00F76177">
            <w:pPr>
              <w:numPr>
                <w:ilvl w:val="2"/>
                <w:numId w:val="28"/>
              </w:numPr>
              <w:autoSpaceDN w:val="0"/>
              <w:spacing w:after="0" w:line="252" w:lineRule="auto"/>
              <w:contextualSpacing/>
              <w:rPr>
                <w:rFonts w:cs="Arial"/>
                <w:sz w:val="20"/>
                <w:szCs w:val="20"/>
                <w:lang w:eastAsia="x-none"/>
              </w:rPr>
            </w:pPr>
            <w:r w:rsidRPr="005D698F">
              <w:rPr>
                <w:rFonts w:cs="Arial"/>
                <w:sz w:val="20"/>
                <w:szCs w:val="20"/>
                <w:lang w:eastAsia="x-none"/>
              </w:rPr>
              <w:t>whether part of the configuration can be defined instead of signaled</w:t>
            </w:r>
          </w:p>
          <w:p w14:paraId="5A90098C" w14:textId="77777777" w:rsidR="00F76177" w:rsidRPr="005D698F" w:rsidRDefault="00F76177" w:rsidP="00F76177">
            <w:pPr>
              <w:numPr>
                <w:ilvl w:val="1"/>
                <w:numId w:val="28"/>
              </w:numPr>
              <w:autoSpaceDN w:val="0"/>
              <w:spacing w:after="0" w:line="252" w:lineRule="auto"/>
              <w:contextualSpacing/>
              <w:rPr>
                <w:rFonts w:cs="Arial"/>
                <w:sz w:val="20"/>
                <w:szCs w:val="20"/>
                <w:lang w:eastAsia="x-none"/>
              </w:rPr>
            </w:pPr>
            <w:r w:rsidRPr="005D698F">
              <w:rPr>
                <w:rFonts w:cs="Arial"/>
                <w:sz w:val="20"/>
                <w:szCs w:val="20"/>
                <w:lang w:eastAsia="x-none"/>
              </w:rPr>
              <w:lastRenderedPageBreak/>
              <w:t>If a separate initial DL BWP for RedCap UEs is configured/defined, this separate initial DL BWP for RedCap UEs can be used at least after initial access (i.e., at least after RRC Setup, RRC Resume, or RRC Reestablishment).</w:t>
            </w:r>
          </w:p>
          <w:p w14:paraId="62CB234A" w14:textId="77777777" w:rsidR="00F76177" w:rsidRPr="005D698F" w:rsidRDefault="00F76177" w:rsidP="00F76177">
            <w:pPr>
              <w:numPr>
                <w:ilvl w:val="2"/>
                <w:numId w:val="28"/>
              </w:numPr>
              <w:autoSpaceDN w:val="0"/>
              <w:spacing w:after="0" w:line="252" w:lineRule="auto"/>
              <w:contextualSpacing/>
              <w:rPr>
                <w:rFonts w:cs="Arial"/>
                <w:sz w:val="20"/>
                <w:szCs w:val="20"/>
                <w:highlight w:val="yellow"/>
                <w:lang w:eastAsia="x-none"/>
              </w:rPr>
            </w:pPr>
            <w:r w:rsidRPr="005D698F">
              <w:rPr>
                <w:rFonts w:cs="Arial"/>
                <w:sz w:val="20"/>
                <w:szCs w:val="20"/>
                <w:highlight w:val="yellow"/>
                <w:lang w:eastAsia="x-none"/>
              </w:rPr>
              <w:t>FFS during the initial access</w:t>
            </w:r>
          </w:p>
          <w:p w14:paraId="2615A926" w14:textId="77777777" w:rsidR="00F76177" w:rsidRPr="005D698F" w:rsidRDefault="00F76177" w:rsidP="00F76177">
            <w:pPr>
              <w:numPr>
                <w:ilvl w:val="1"/>
                <w:numId w:val="28"/>
              </w:numPr>
              <w:autoSpaceDN w:val="0"/>
              <w:spacing w:after="0" w:line="252" w:lineRule="auto"/>
              <w:contextualSpacing/>
              <w:rPr>
                <w:rFonts w:cs="Arial"/>
                <w:sz w:val="20"/>
                <w:szCs w:val="20"/>
                <w:lang w:eastAsia="x-none"/>
              </w:rPr>
            </w:pPr>
            <w:r w:rsidRPr="005D698F">
              <w:rPr>
                <w:rFonts w:cs="Arial"/>
                <w:sz w:val="20"/>
                <w:szCs w:val="20"/>
                <w:lang w:eastAsia="x-none"/>
              </w:rPr>
              <w:t>FFS: whether a separately configured initial DL BWP for RedCap UEs needs to contain the entire CORESET #0, and, if not, the Redcap UE behaviour for CORESET #0 monitoring</w:t>
            </w:r>
          </w:p>
          <w:p w14:paraId="2806D36C" w14:textId="77777777" w:rsidR="00F76177" w:rsidRPr="005D698F" w:rsidRDefault="00F76177" w:rsidP="00F76177">
            <w:pPr>
              <w:numPr>
                <w:ilvl w:val="1"/>
                <w:numId w:val="28"/>
              </w:numPr>
              <w:autoSpaceDN w:val="0"/>
              <w:spacing w:after="0" w:line="252" w:lineRule="auto"/>
              <w:contextualSpacing/>
              <w:rPr>
                <w:rFonts w:cs="Arial"/>
                <w:sz w:val="20"/>
                <w:szCs w:val="20"/>
                <w:lang w:eastAsia="x-none"/>
              </w:rPr>
            </w:pPr>
            <w:r w:rsidRPr="005D698F">
              <w:rPr>
                <w:rFonts w:cs="Arial"/>
                <w:sz w:val="20"/>
                <w:szCs w:val="20"/>
                <w:lang w:eastAsia="x-none"/>
              </w:rPr>
              <w:t>FFS: supported bandwidths in the separate initial DL BWP</w:t>
            </w:r>
          </w:p>
          <w:p w14:paraId="28E9AE0D" w14:textId="77777777" w:rsidR="00F76177" w:rsidRPr="005D698F" w:rsidRDefault="00F76177" w:rsidP="00F76177">
            <w:pPr>
              <w:numPr>
                <w:ilvl w:val="1"/>
                <w:numId w:val="28"/>
              </w:numPr>
              <w:autoSpaceDN w:val="0"/>
              <w:spacing w:after="0" w:line="252" w:lineRule="auto"/>
              <w:contextualSpacing/>
              <w:rPr>
                <w:rFonts w:cs="Arial"/>
                <w:sz w:val="20"/>
                <w:szCs w:val="20"/>
                <w:lang w:eastAsia="x-none"/>
              </w:rPr>
            </w:pPr>
            <w:r w:rsidRPr="005D698F">
              <w:rPr>
                <w:rFonts w:cs="Arial"/>
                <w:sz w:val="20"/>
                <w:szCs w:val="20"/>
                <w:lang w:eastAsia="x-none"/>
              </w:rPr>
              <w:t>FFS: whether additional SSB is transmitted in the separately configured initial DL BWP for RedCap UEs</w:t>
            </w:r>
          </w:p>
          <w:p w14:paraId="27C6FE11" w14:textId="77777777" w:rsidR="00F76177" w:rsidRPr="005D698F" w:rsidRDefault="00F76177" w:rsidP="00F76177">
            <w:pPr>
              <w:numPr>
                <w:ilvl w:val="1"/>
                <w:numId w:val="28"/>
              </w:numPr>
              <w:autoSpaceDN w:val="0"/>
              <w:spacing w:after="0" w:line="252" w:lineRule="auto"/>
              <w:contextualSpacing/>
              <w:rPr>
                <w:rFonts w:cs="Arial"/>
                <w:sz w:val="20"/>
                <w:szCs w:val="20"/>
                <w:lang w:val="sv-SE" w:eastAsia="x-none"/>
              </w:rPr>
            </w:pPr>
            <w:r w:rsidRPr="005D698F">
              <w:rPr>
                <w:rFonts w:cs="Arial"/>
                <w:sz w:val="20"/>
                <w:szCs w:val="20"/>
                <w:lang w:val="sv-SE" w:eastAsia="x-none"/>
              </w:rPr>
              <w:t>FFS: FDD case</w:t>
            </w:r>
          </w:p>
          <w:p w14:paraId="3822DC1F" w14:textId="77777777" w:rsidR="00F76177" w:rsidRPr="005D698F" w:rsidRDefault="00F76177" w:rsidP="00CE0424">
            <w:pPr>
              <w:pStyle w:val="BodyText"/>
              <w:rPr>
                <w:rFonts w:cs="Arial"/>
                <w:sz w:val="20"/>
                <w:szCs w:val="20"/>
              </w:rPr>
            </w:pPr>
          </w:p>
          <w:p w14:paraId="747C2876" w14:textId="77777777" w:rsidR="00F76177" w:rsidRPr="005D698F" w:rsidRDefault="00F76177" w:rsidP="00F76177">
            <w:pPr>
              <w:spacing w:line="252" w:lineRule="auto"/>
              <w:rPr>
                <w:rFonts w:cs="Arial"/>
                <w:sz w:val="20"/>
                <w:szCs w:val="20"/>
              </w:rPr>
            </w:pPr>
            <w:r w:rsidRPr="005D698F">
              <w:rPr>
                <w:rFonts w:cs="Arial"/>
                <w:sz w:val="20"/>
                <w:szCs w:val="20"/>
                <w:highlight w:val="green"/>
              </w:rPr>
              <w:t>Agreements:</w:t>
            </w:r>
            <w:r w:rsidRPr="005D698F">
              <w:rPr>
                <w:rFonts w:cs="Arial"/>
                <w:sz w:val="20"/>
                <w:szCs w:val="20"/>
              </w:rPr>
              <w:t xml:space="preserve"> Take the following as an agreement, revised from the RAN1#104bis-e working assumption:</w:t>
            </w:r>
          </w:p>
          <w:p w14:paraId="5A292BAE" w14:textId="77777777" w:rsidR="00F76177" w:rsidRPr="005D698F" w:rsidRDefault="00F76177" w:rsidP="00F76177">
            <w:pPr>
              <w:numPr>
                <w:ilvl w:val="0"/>
                <w:numId w:val="28"/>
              </w:numPr>
              <w:spacing w:after="0" w:line="252" w:lineRule="auto"/>
              <w:rPr>
                <w:rFonts w:eastAsia="Times New Roman" w:cs="Arial"/>
                <w:sz w:val="20"/>
                <w:szCs w:val="20"/>
                <w:lang w:eastAsia="ja-JP"/>
              </w:rPr>
            </w:pPr>
            <w:r w:rsidRPr="005D698F">
              <w:rPr>
                <w:rFonts w:eastAsia="Times New Roman" w:cs="Arial"/>
                <w:sz w:val="20"/>
                <w:szCs w:val="20"/>
                <w:lang w:eastAsia="ja-JP"/>
              </w:rPr>
              <w:t>A RedCap UE cannot be configured with a non-initial (DL or UL) BWP (i.e., a BWP with a non-zero index) wider than the maximum bandwidth of the RedCap UE.</w:t>
            </w:r>
          </w:p>
          <w:p w14:paraId="787D92F1" w14:textId="77777777" w:rsidR="00F76177" w:rsidRPr="005D698F" w:rsidRDefault="00F76177" w:rsidP="00F76177">
            <w:pPr>
              <w:numPr>
                <w:ilvl w:val="1"/>
                <w:numId w:val="28"/>
              </w:numPr>
              <w:spacing w:after="0" w:line="252" w:lineRule="auto"/>
              <w:rPr>
                <w:rFonts w:eastAsia="Times New Roman" w:cs="Arial"/>
                <w:sz w:val="20"/>
                <w:szCs w:val="20"/>
                <w:lang w:eastAsia="ja-JP"/>
              </w:rPr>
            </w:pPr>
            <w:r w:rsidRPr="005D698F">
              <w:rPr>
                <w:rFonts w:eastAsia="Times New Roman" w:cs="Arial"/>
                <w:sz w:val="20"/>
                <w:szCs w:val="20"/>
                <w:lang w:eastAsia="ja-JP"/>
              </w:rPr>
              <w:t>At least for FR1, FG 6-1 (“Basic BWP operation with restriction” as described in TR 38.822) is used as a starting point for the mandatory RedCap UE type capability.</w:t>
            </w:r>
          </w:p>
          <w:p w14:paraId="354CABE3" w14:textId="77777777" w:rsidR="00F76177" w:rsidRPr="005D698F" w:rsidRDefault="00F76177" w:rsidP="00CE0424">
            <w:pPr>
              <w:numPr>
                <w:ilvl w:val="2"/>
                <w:numId w:val="28"/>
              </w:numPr>
              <w:spacing w:after="0" w:line="252" w:lineRule="auto"/>
              <w:rPr>
                <w:rFonts w:ascii="Times New Roman" w:eastAsia="Times New Roman" w:hAnsi="Times New Roman"/>
                <w:szCs w:val="20"/>
                <w:lang w:eastAsia="ja-JP"/>
              </w:rPr>
            </w:pPr>
            <w:r w:rsidRPr="005D698F">
              <w:rPr>
                <w:rFonts w:eastAsia="Times New Roman" w:cs="Arial"/>
                <w:sz w:val="20"/>
                <w:szCs w:val="20"/>
                <w:highlight w:val="yellow"/>
                <w:lang w:eastAsia="ja-JP"/>
              </w:rPr>
              <w:t>This does not preclude support of FG 6-1a (“BWP operation without restriction on BW of BWP(s)” as described in TR 38.822) as a UE capability for RedCap UEs.</w:t>
            </w:r>
          </w:p>
          <w:p w14:paraId="3FA862BD" w14:textId="77777777" w:rsidR="00F671E4" w:rsidRPr="005D698F" w:rsidRDefault="00F671E4" w:rsidP="00F671E4">
            <w:pPr>
              <w:spacing w:after="0" w:line="252" w:lineRule="auto"/>
              <w:rPr>
                <w:rFonts w:eastAsia="Times New Roman" w:cs="Arial"/>
                <w:szCs w:val="20"/>
                <w:lang w:eastAsia="ja-JP"/>
              </w:rPr>
            </w:pPr>
          </w:p>
          <w:p w14:paraId="39E0B38B" w14:textId="77777777" w:rsidR="00F671E4" w:rsidRPr="005D698F" w:rsidRDefault="00F671E4" w:rsidP="00F671E4">
            <w:pPr>
              <w:rPr>
                <w:rFonts w:eastAsia="Times New Roman" w:cs="Times"/>
                <w:sz w:val="20"/>
                <w:szCs w:val="18"/>
                <w:highlight w:val="darkYellow"/>
                <w:lang w:eastAsia="ja-JP"/>
              </w:rPr>
            </w:pPr>
            <w:r w:rsidRPr="005D698F">
              <w:rPr>
                <w:rFonts w:eastAsia="Times New Roman" w:cs="Times"/>
                <w:sz w:val="20"/>
                <w:szCs w:val="18"/>
                <w:highlight w:val="darkYellow"/>
                <w:lang w:eastAsia="ja-JP"/>
              </w:rPr>
              <w:t>Working assumption:</w:t>
            </w:r>
          </w:p>
          <w:p w14:paraId="7C54AEE3" w14:textId="77777777" w:rsidR="00F671E4" w:rsidRPr="005D698F" w:rsidRDefault="00F671E4" w:rsidP="00F671E4">
            <w:pPr>
              <w:numPr>
                <w:ilvl w:val="0"/>
                <w:numId w:val="28"/>
              </w:numPr>
              <w:spacing w:after="0" w:line="252" w:lineRule="auto"/>
              <w:rPr>
                <w:rFonts w:ascii="Times New Roman" w:hAnsi="Times New Roman"/>
                <w:sz w:val="20"/>
                <w:szCs w:val="18"/>
              </w:rPr>
            </w:pPr>
            <w:r w:rsidRPr="005D698F">
              <w:rPr>
                <w:rFonts w:eastAsia="Times New Roman" w:cs="Times"/>
                <w:sz w:val="20"/>
                <w:szCs w:val="18"/>
                <w:lang w:eastAsia="ja-JP"/>
              </w:rPr>
              <w:t>For enabling/supporting that PUCCH (for Msg4/[MsgB] HARQ feedback) and/or PUSCH (for Msg3/[MsgA]) transmissions fall within the RedCap UE bandwidth during initial access, support separate initial UL BWP for RedCap UEs (which is not expected to exceed the maximum RedCap UE bandwidth).</w:t>
            </w:r>
          </w:p>
          <w:p w14:paraId="57C64109" w14:textId="77777777" w:rsidR="00F671E4" w:rsidRPr="005D698F" w:rsidRDefault="00F671E4" w:rsidP="00F671E4">
            <w:pPr>
              <w:numPr>
                <w:ilvl w:val="1"/>
                <w:numId w:val="28"/>
              </w:numPr>
              <w:spacing w:after="0" w:line="252" w:lineRule="auto"/>
              <w:rPr>
                <w:rFonts w:eastAsia="Times New Roman" w:cs="Times"/>
                <w:sz w:val="20"/>
                <w:szCs w:val="18"/>
                <w:highlight w:val="yellow"/>
                <w:lang w:eastAsia="ja-JP"/>
              </w:rPr>
            </w:pPr>
            <w:r w:rsidRPr="005D698F">
              <w:rPr>
                <w:rFonts w:eastAsia="Times New Roman" w:cs="Times"/>
                <w:sz w:val="20"/>
                <w:szCs w:val="18"/>
                <w:highlight w:val="yellow"/>
                <w:lang w:eastAsia="ja-JP"/>
              </w:rPr>
              <w:t>FFS: whether/how the specification also supports separate PUCCH/Msg3/[MsgA] PUSCH configuration/indication or a different interpretation of the same configuration/indication for RedCap (e.g., disabled frequency hopping or different frequency hopping)</w:t>
            </w:r>
          </w:p>
          <w:p w14:paraId="2090F24F" w14:textId="6A970BB1" w:rsidR="00F671E4" w:rsidRPr="005D698F" w:rsidRDefault="00F671E4" w:rsidP="00F671E4">
            <w:pPr>
              <w:spacing w:after="0" w:line="252" w:lineRule="auto"/>
              <w:rPr>
                <w:rFonts w:ascii="Times New Roman" w:eastAsia="Times New Roman" w:hAnsi="Times New Roman"/>
                <w:szCs w:val="20"/>
                <w:lang w:eastAsia="ja-JP"/>
              </w:rPr>
            </w:pPr>
          </w:p>
        </w:tc>
      </w:tr>
    </w:tbl>
    <w:p w14:paraId="30E3F808" w14:textId="77777777" w:rsidR="00F76177" w:rsidRDefault="00F76177" w:rsidP="00CE0424">
      <w:pPr>
        <w:pStyle w:val="BodyText"/>
      </w:pPr>
    </w:p>
    <w:p w14:paraId="74EEAB5C" w14:textId="7E76394C" w:rsidR="00112470" w:rsidRDefault="00F76177" w:rsidP="00CE0424">
      <w:pPr>
        <w:pStyle w:val="BodyText"/>
      </w:pPr>
      <w:r>
        <w:t xml:space="preserve">In this contribution, we discuss how the solutions for these open issues can be used to avoid or minimize </w:t>
      </w:r>
      <w:r w:rsidR="00BD5E2B">
        <w:t xml:space="preserve">the </w:t>
      </w:r>
      <w:r>
        <w:t>PUSCH resource fragmentation.</w:t>
      </w:r>
      <w:r w:rsidR="00456186">
        <w:t xml:space="preserve"> We use FR1 scenarios as examples.</w:t>
      </w:r>
    </w:p>
    <w:p w14:paraId="0373753E" w14:textId="5BCEA9B1" w:rsidR="00112470" w:rsidRDefault="00F76177" w:rsidP="00F76177">
      <w:pPr>
        <w:pStyle w:val="Heading1"/>
      </w:pPr>
      <w:r>
        <w:t>2</w:t>
      </w:r>
      <w:r>
        <w:tab/>
        <w:t>Peak user data rate is a KPI adopted by many MNOs</w:t>
      </w:r>
    </w:p>
    <w:p w14:paraId="7ACD9290" w14:textId="1C60B6B0" w:rsidR="00DE4ACA" w:rsidRDefault="002E6241" w:rsidP="00DE4ACA">
      <w:pPr>
        <w:pStyle w:val="BodyText"/>
      </w:pPr>
      <w:r>
        <w:t>Peak user data rate is an important key performance indicator (KPI)</w:t>
      </w:r>
      <w:r w:rsidR="007F15F2">
        <w:t xml:space="preserve"> that most mobile network operators (MNOs) adopt for evaluating a technology or equipment. When a new feature is introduced to a</w:t>
      </w:r>
      <w:r w:rsidR="00DE4ACA">
        <w:t xml:space="preserve"> network, a key consideration is whether and how the important KPIs are impacted. Such consideration is aligned with the RedCap work item objective </w:t>
      </w:r>
      <w:r w:rsidR="00904587">
        <w:t>for ensuring good</w:t>
      </w:r>
      <w:r w:rsidR="00DE4ACA">
        <w:t xml:space="preserve"> coexistence performance between RedCap and non-RedCap UEs </w:t>
      </w:r>
      <w:r w:rsidR="00DE4ACA">
        <w:fldChar w:fldCharType="begin"/>
      </w:r>
      <w:r w:rsidR="00DE4ACA">
        <w:instrText xml:space="preserve"> REF _Ref75523317 \r \h </w:instrText>
      </w:r>
      <w:r w:rsidR="00DE4ACA">
        <w:fldChar w:fldCharType="separate"/>
      </w:r>
      <w:r w:rsidR="00A96488">
        <w:t>[3]</w:t>
      </w:r>
      <w:r w:rsidR="00DE4ACA">
        <w:fldChar w:fldCharType="end"/>
      </w:r>
      <w:r w:rsidR="00DE4ACA">
        <w:t>:</w:t>
      </w:r>
    </w:p>
    <w:tbl>
      <w:tblPr>
        <w:tblStyle w:val="TableGrid"/>
        <w:tblW w:w="0" w:type="auto"/>
        <w:tblLook w:val="04A0" w:firstRow="1" w:lastRow="0" w:firstColumn="1" w:lastColumn="0" w:noHBand="0" w:noVBand="1"/>
      </w:tblPr>
      <w:tblGrid>
        <w:gridCol w:w="9629"/>
      </w:tblGrid>
      <w:tr w:rsidR="00DE4ACA" w14:paraId="34789B1E" w14:textId="77777777" w:rsidTr="00771588">
        <w:tc>
          <w:tcPr>
            <w:tcW w:w="9629" w:type="dxa"/>
          </w:tcPr>
          <w:p w14:paraId="3B7C8EA1" w14:textId="77777777" w:rsidR="00DE4ACA" w:rsidRPr="00DE4ACA" w:rsidRDefault="00DE4ACA" w:rsidP="00771588">
            <w:pPr>
              <w:pStyle w:val="B1"/>
              <w:numPr>
                <w:ilvl w:val="0"/>
                <w:numId w:val="27"/>
              </w:numPr>
              <w:overflowPunct w:val="0"/>
              <w:autoSpaceDE w:val="0"/>
              <w:autoSpaceDN w:val="0"/>
              <w:adjustRightInd w:val="0"/>
              <w:spacing w:after="180" w:line="240" w:lineRule="auto"/>
              <w:rPr>
                <w:rFonts w:ascii="Arial" w:eastAsia="SimSun" w:hAnsi="Arial" w:cs="Arial"/>
                <w:sz w:val="20"/>
                <w:szCs w:val="20"/>
                <w:lang w:eastAsia="ja-JP"/>
              </w:rPr>
            </w:pPr>
            <w:r w:rsidRPr="00DE4ACA">
              <w:rPr>
                <w:rFonts w:ascii="Arial" w:eastAsia="SimSun" w:hAnsi="Arial" w:cs="Arial"/>
                <w:sz w:val="20"/>
                <w:szCs w:val="20"/>
                <w:lang w:eastAsia="ja-JP"/>
              </w:rPr>
              <w:t>Coexistence with non-RedCap UEs is to be ensured.</w:t>
            </w:r>
          </w:p>
        </w:tc>
      </w:tr>
    </w:tbl>
    <w:p w14:paraId="11E3A591" w14:textId="7C7EB931" w:rsidR="00DE4ACA" w:rsidRDefault="00DE4ACA" w:rsidP="00DE4ACA">
      <w:pPr>
        <w:pStyle w:val="BodyText"/>
      </w:pPr>
    </w:p>
    <w:p w14:paraId="24939805" w14:textId="477FA6DC" w:rsidR="000F09B8" w:rsidRDefault="000B0B2B" w:rsidP="00DE4ACA">
      <w:pPr>
        <w:pStyle w:val="BodyText"/>
      </w:pPr>
      <w:r>
        <w:t>In our view, the RedCap work item should ensure that the RedCap introduction does not impact the MNO KPIs such as UL peak data rate of eMBB UEs.</w:t>
      </w:r>
    </w:p>
    <w:p w14:paraId="1CD8E39F" w14:textId="4E17EB8F" w:rsidR="000B0B2B" w:rsidRDefault="000B0B2B" w:rsidP="000B0B2B">
      <w:pPr>
        <w:pStyle w:val="Observation"/>
      </w:pPr>
      <w:bookmarkStart w:id="0" w:name="_Toc79049332"/>
      <w:r w:rsidRPr="000B0B2B">
        <w:t>UL peak data rate of eMBB UEs</w:t>
      </w:r>
      <w:r>
        <w:t xml:space="preserve"> is an important KPI when an MNO evaluates the potential introduction of </w:t>
      </w:r>
      <w:r w:rsidR="00BD5E2B">
        <w:t xml:space="preserve">a </w:t>
      </w:r>
      <w:r>
        <w:t>new technology or equipment. T</w:t>
      </w:r>
      <w:r w:rsidRPr="000B0B2B">
        <w:t xml:space="preserve">he RedCap work item should ensure that the RedCap introduction does not </w:t>
      </w:r>
      <w:r w:rsidR="00B909A3">
        <w:t xml:space="preserve">considerably </w:t>
      </w:r>
      <w:r w:rsidRPr="000B0B2B">
        <w:t>impact</w:t>
      </w:r>
      <w:r>
        <w:t xml:space="preserve"> U</w:t>
      </w:r>
      <w:r w:rsidRPr="000B0B2B">
        <w:t>L peak data rate of eMBB UEs</w:t>
      </w:r>
      <w:r w:rsidR="00BD5E2B">
        <w:t>.</w:t>
      </w:r>
      <w:bookmarkEnd w:id="0"/>
    </w:p>
    <w:p w14:paraId="66F94C6C" w14:textId="1855D359" w:rsidR="005749C5" w:rsidRDefault="00527C96" w:rsidP="00CE0424">
      <w:pPr>
        <w:pStyle w:val="BodyText"/>
      </w:pPr>
      <w:r>
        <w:t>One important coexistence issue</w:t>
      </w:r>
      <w:r w:rsidR="000B0B2B">
        <w:t xml:space="preserve"> that has </w:t>
      </w:r>
      <w:r w:rsidR="00EC52EF">
        <w:t xml:space="preserve">impact on </w:t>
      </w:r>
      <w:r w:rsidR="00852081">
        <w:t xml:space="preserve">the </w:t>
      </w:r>
      <w:r w:rsidR="00EC52EF" w:rsidRPr="00EC52EF">
        <w:t>UL peak data rate of eMBB UEs</w:t>
      </w:r>
      <w:r>
        <w:t xml:space="preserve"> is PUSCH resource fragmentation caused by PUCCH </w:t>
      </w:r>
      <w:r w:rsidR="009C422F">
        <w:t>transmission</w:t>
      </w:r>
      <w:r w:rsidR="00EC52EF">
        <w:t>, as mentioned in our companion contribution</w:t>
      </w:r>
      <w:r w:rsidR="00B17551">
        <w:t xml:space="preserve"> </w:t>
      </w:r>
      <w:r w:rsidR="00B17551">
        <w:fldChar w:fldCharType="begin"/>
      </w:r>
      <w:r w:rsidR="00B17551">
        <w:instrText xml:space="preserve"> REF _Ref76972871 \r \h </w:instrText>
      </w:r>
      <w:r w:rsidR="00B17551">
        <w:fldChar w:fldCharType="separate"/>
      </w:r>
      <w:r w:rsidR="00A96488">
        <w:t>[4]</w:t>
      </w:r>
      <w:r w:rsidR="00B17551">
        <w:fldChar w:fldCharType="end"/>
      </w:r>
      <w:r>
        <w:t xml:space="preserve">. </w:t>
      </w:r>
      <w:r w:rsidR="009C422F" w:rsidRPr="009C422F">
        <w:t xml:space="preserve">PUSCH resource fragmentation </w:t>
      </w:r>
      <w:r w:rsidR="00B909A3">
        <w:t xml:space="preserve">can </w:t>
      </w:r>
      <w:r w:rsidR="009C422F">
        <w:t xml:space="preserve">result in a significant UL peak data rate reduction for non-RedCap UEs </w:t>
      </w:r>
      <w:r w:rsidR="00152CE6">
        <w:t xml:space="preserve">not </w:t>
      </w:r>
      <w:r w:rsidR="009C422F">
        <w:lastRenderedPageBreak/>
        <w:t xml:space="preserve">supporting </w:t>
      </w:r>
      <w:r w:rsidR="00152CE6" w:rsidRPr="00AD2FB3">
        <w:rPr>
          <w:i/>
          <w:iCs/>
        </w:rPr>
        <w:t>almost contiguous UL CP-OFDM</w:t>
      </w:r>
      <w:r w:rsidR="00152CE6" w:rsidRPr="00152CE6">
        <w:t xml:space="preserve"> </w:t>
      </w:r>
      <w:r w:rsidR="00152CE6">
        <w:t>(Feature 2-7 defined in TR</w:t>
      </w:r>
      <w:r w:rsidR="00357CB6">
        <w:t xml:space="preserve"> </w:t>
      </w:r>
      <w:r w:rsidR="00152CE6">
        <w:t xml:space="preserve">38.822) or </w:t>
      </w:r>
      <w:r w:rsidR="00152CE6" w:rsidRPr="00AD2FB3">
        <w:rPr>
          <w:i/>
          <w:iCs/>
        </w:rPr>
        <w:t>resource allocation Type 0 for PUSCH</w:t>
      </w:r>
      <w:r w:rsidR="00152CE6">
        <w:t xml:space="preserve"> (Feature </w:t>
      </w:r>
      <w:r w:rsidR="006471E2">
        <w:t xml:space="preserve">5-2 </w:t>
      </w:r>
      <w:r w:rsidR="00152CE6">
        <w:t xml:space="preserve">defined in TR 38.822) </w:t>
      </w:r>
      <w:r w:rsidR="009C422F">
        <w:t xml:space="preserve">in the uplink. </w:t>
      </w:r>
      <w:r w:rsidR="00152CE6">
        <w:t>Note that both these features are o</w:t>
      </w:r>
      <w:r w:rsidR="00152CE6" w:rsidRPr="00152CE6">
        <w:t>ptional with capability signaling</w:t>
      </w:r>
      <w:r w:rsidR="00152CE6">
        <w:t>.</w:t>
      </w:r>
    </w:p>
    <w:p w14:paraId="7490CDFA" w14:textId="2F99B887" w:rsidR="000B0B2B" w:rsidRPr="00CE0424" w:rsidRDefault="00527C96" w:rsidP="00CE0424">
      <w:pPr>
        <w:pStyle w:val="BodyText"/>
      </w:pPr>
      <w:r>
        <w:t xml:space="preserve">In </w:t>
      </w:r>
      <w:r w:rsidR="00EC52EF">
        <w:t>Section 3</w:t>
      </w:r>
      <w:r>
        <w:t xml:space="preserve">, we first illustrate how the existing Rel-15/16 </w:t>
      </w:r>
      <w:r w:rsidR="00BC09E1">
        <w:t xml:space="preserve">bandwidth part (BWP) </w:t>
      </w:r>
      <w:r>
        <w:t xml:space="preserve"> framework </w:t>
      </w:r>
      <w:r w:rsidR="003C74B4">
        <w:t xml:space="preserve">currently </w:t>
      </w:r>
      <w:r>
        <w:t>allows a network configuration to avoid PUSCH resource fragmentation</w:t>
      </w:r>
      <w:r w:rsidR="00EC52EF">
        <w:t xml:space="preserve"> and ensure excellent UL peak </w:t>
      </w:r>
      <w:r w:rsidR="00A661E9">
        <w:t xml:space="preserve">user </w:t>
      </w:r>
      <w:r w:rsidR="00EC52EF">
        <w:t xml:space="preserve">data rate KPI </w:t>
      </w:r>
      <w:r w:rsidR="00B03B58">
        <w:t>performance</w:t>
      </w:r>
      <w:r>
        <w:t xml:space="preserve"> while supporting </w:t>
      </w:r>
      <w:r w:rsidR="002F65FA">
        <w:t xml:space="preserve">the adaptation of </w:t>
      </w:r>
      <w:r>
        <w:t xml:space="preserve">BWP configurations </w:t>
      </w:r>
      <w:r w:rsidR="002F65FA">
        <w:t>for UE power saving purposes</w:t>
      </w:r>
      <w:r>
        <w:t xml:space="preserve">. Then, </w:t>
      </w:r>
      <w:r w:rsidR="00B17551">
        <w:t xml:space="preserve">in Section 4, </w:t>
      </w:r>
      <w:r>
        <w:t xml:space="preserve">we illustrate a potential problem due to the introduction of </w:t>
      </w:r>
      <w:r w:rsidR="00F9233D">
        <w:t>a separate</w:t>
      </w:r>
      <w:r w:rsidR="002D3CFF">
        <w:t xml:space="preserve"> initial</w:t>
      </w:r>
      <w:r w:rsidR="00F9233D">
        <w:t xml:space="preserve"> UL BWP for </w:t>
      </w:r>
      <w:r w:rsidR="00B17551">
        <w:t xml:space="preserve">supporting </w:t>
      </w:r>
      <w:r>
        <w:t xml:space="preserve">RedCap </w:t>
      </w:r>
      <w:r w:rsidR="00B17551">
        <w:t>UEs</w:t>
      </w:r>
      <w:r w:rsidR="00262D9E">
        <w:t xml:space="preserve"> which is currently</w:t>
      </w:r>
      <w:r w:rsidR="00F9233D">
        <w:t xml:space="preserve"> </w:t>
      </w:r>
      <w:r w:rsidR="002D3CFF">
        <w:t>a working assumption in the scenario where the initial UL BWP for non-RedCap UEs is configured to</w:t>
      </w:r>
      <w:r w:rsidR="002D3CFF" w:rsidRPr="002D3CFF">
        <w:t xml:space="preserve"> </w:t>
      </w:r>
      <w:r w:rsidR="00B17551">
        <w:t>be</w:t>
      </w:r>
      <w:r w:rsidR="002D3CFF" w:rsidRPr="002D3CFF">
        <w:t xml:space="preserve"> wider than the </w:t>
      </w:r>
      <w:r w:rsidR="002D3CFF">
        <w:t xml:space="preserve">maximum bandwidth of a </w:t>
      </w:r>
      <w:r w:rsidR="002D3CFF" w:rsidRPr="002D3CFF">
        <w:t>RedCap UE</w:t>
      </w:r>
      <w:r w:rsidR="00EC52EF">
        <w:t xml:space="preserve"> </w:t>
      </w:r>
      <w:r w:rsidR="00EC52EF">
        <w:fldChar w:fldCharType="begin"/>
      </w:r>
      <w:r w:rsidR="00EC52EF">
        <w:instrText xml:space="preserve"> REF _Ref65144387 \r \h </w:instrText>
      </w:r>
      <w:r w:rsidR="00EC52EF">
        <w:fldChar w:fldCharType="separate"/>
      </w:r>
      <w:r w:rsidR="00A96488">
        <w:t>[1]</w:t>
      </w:r>
      <w:r w:rsidR="00EC52EF">
        <w:fldChar w:fldCharType="end"/>
      </w:r>
      <w:r w:rsidR="00F9233D">
        <w:t xml:space="preserve">. </w:t>
      </w:r>
      <w:r>
        <w:t xml:space="preserve">Finally, </w:t>
      </w:r>
      <w:r w:rsidR="00B17551">
        <w:t xml:space="preserve">in Section 5, </w:t>
      </w:r>
      <w:r>
        <w:t xml:space="preserve">we present </w:t>
      </w:r>
      <w:r w:rsidR="008C6D19">
        <w:t>several</w:t>
      </w:r>
      <w:r>
        <w:t xml:space="preserve"> potential solutions</w:t>
      </w:r>
      <w:r w:rsidR="00EC52EF">
        <w:t xml:space="preserve">, within the framework of existing RAN1 agreements, </w:t>
      </w:r>
      <w:r>
        <w:t>for avoiding or minimizing PUSCH resource fragmentation</w:t>
      </w:r>
      <w:r w:rsidR="00BC17F1">
        <w:t xml:space="preserve"> </w:t>
      </w:r>
      <w:r w:rsidR="00B17551">
        <w:t xml:space="preserve">in order </w:t>
      </w:r>
      <w:r w:rsidR="00C069AF">
        <w:t>to</w:t>
      </w:r>
      <w:r w:rsidR="00BC17F1">
        <w:t xml:space="preserve"> support both non-RedCap and RedCap UEs in the same cell</w:t>
      </w:r>
      <w:r w:rsidR="00BF206C">
        <w:t xml:space="preserve"> and ensure good coexistence performance</w:t>
      </w:r>
      <w:r w:rsidR="00BC17F1">
        <w:t>.</w:t>
      </w:r>
    </w:p>
    <w:p w14:paraId="35EB090D" w14:textId="2DCD6D9C" w:rsidR="00F63950" w:rsidRDefault="00B03B58" w:rsidP="00B03B58">
      <w:pPr>
        <w:pStyle w:val="Heading1"/>
      </w:pPr>
      <w:r>
        <w:t>3</w:t>
      </w:r>
      <w:r w:rsidR="00230D18">
        <w:tab/>
      </w:r>
      <w:r w:rsidR="005F7C64">
        <w:t xml:space="preserve">Introducing Rel-15 based BWP adaptation does not compromise </w:t>
      </w:r>
      <w:r w:rsidR="00E66CAB">
        <w:t>the</w:t>
      </w:r>
      <w:r w:rsidR="00C67307">
        <w:t xml:space="preserve"> </w:t>
      </w:r>
      <w:r w:rsidR="0081025C">
        <w:t xml:space="preserve">UL </w:t>
      </w:r>
      <w:r w:rsidR="00C67307">
        <w:t>p</w:t>
      </w:r>
      <w:r w:rsidR="00C67307" w:rsidRPr="00C67307">
        <w:t>eak user data rate KPI</w:t>
      </w:r>
    </w:p>
    <w:p w14:paraId="675B416E" w14:textId="00CECD25" w:rsidR="0051066B" w:rsidRDefault="0051066B" w:rsidP="00851033">
      <w:pPr>
        <w:pStyle w:val="BodyText"/>
      </w:pPr>
      <w:r>
        <w:t xml:space="preserve">UE power consumption has </w:t>
      </w:r>
      <w:r w:rsidR="00545771">
        <w:t xml:space="preserve">a </w:t>
      </w:r>
      <w:r>
        <w:t xml:space="preserve">dependency on </w:t>
      </w:r>
      <w:r w:rsidR="000B6227">
        <w:t xml:space="preserve">the </w:t>
      </w:r>
      <w:r>
        <w:t xml:space="preserve">BWP bandwidth. </w:t>
      </w:r>
      <w:r w:rsidR="007B2100">
        <w:t>For example, according to</w:t>
      </w:r>
      <w:r>
        <w:t xml:space="preserve"> </w:t>
      </w:r>
      <w:r w:rsidR="005F3ADC">
        <w:t>the power consumption model in</w:t>
      </w:r>
      <w:r>
        <w:t xml:space="preserve"> </w:t>
      </w:r>
      <w:r w:rsidR="0004290A">
        <w:fldChar w:fldCharType="begin"/>
      </w:r>
      <w:r w:rsidR="0004290A">
        <w:instrText xml:space="preserve"> REF _Ref70683150 \r \h </w:instrText>
      </w:r>
      <w:r w:rsidR="0004290A">
        <w:fldChar w:fldCharType="separate"/>
      </w:r>
      <w:r w:rsidR="00A96488">
        <w:t>[5]</w:t>
      </w:r>
      <w:r w:rsidR="0004290A">
        <w:fldChar w:fldCharType="end"/>
      </w:r>
      <w:r>
        <w:t>, a scaling factor is used to capture such a dependency. For DL</w:t>
      </w:r>
      <w:r w:rsidR="00851033">
        <w:t xml:space="preserve"> in FR1</w:t>
      </w:r>
      <w:r>
        <w:t>, the power consumption scaling factor Y</w:t>
      </w:r>
      <w:r w:rsidR="007B2100">
        <w:t>,</w:t>
      </w:r>
      <w:r>
        <w:t xml:space="preserve"> for a DL BWP bandwidth of X [MHz]</w:t>
      </w:r>
      <w:r w:rsidR="007B2100">
        <w:t>,</w:t>
      </w:r>
      <w:r>
        <w:t xml:space="preserve"> is Y = 0.4 + 0.6 * (X - 20) / 80. Based on this model, the scaling factors for 20 MHz and 100 MHz BWPs are 0.4 and 1.0, respectively. In other words, by switching a UE from a 100 MHz DL BWP to a 20 MHz DL BWP, a 60% power saving can be achieved when all the other parameters are kept the same. </w:t>
      </w:r>
      <w:r w:rsidR="00851033">
        <w:t xml:space="preserve">For the UL, power consumption is not affected by the bandwidth of UL BWP according to the model in </w:t>
      </w:r>
      <w:r w:rsidR="004B46EA">
        <w:fldChar w:fldCharType="begin"/>
      </w:r>
      <w:r w:rsidR="004B46EA">
        <w:instrText xml:space="preserve"> REF _Ref70683150 \r \h </w:instrText>
      </w:r>
      <w:r w:rsidR="004B46EA">
        <w:fldChar w:fldCharType="separate"/>
      </w:r>
      <w:r w:rsidR="00A96488">
        <w:t>[5]</w:t>
      </w:r>
      <w:r w:rsidR="004B46EA">
        <w:fldChar w:fldCharType="end"/>
      </w:r>
      <w:r w:rsidR="0018334B">
        <w:fldChar w:fldCharType="begin"/>
      </w:r>
      <w:r w:rsidR="0018334B">
        <w:fldChar w:fldCharType="end"/>
      </w:r>
      <w:r w:rsidR="00851033">
        <w:t>.</w:t>
      </w:r>
      <w:r w:rsidR="007B2100">
        <w:t xml:space="preserve"> This makes sense considering </w:t>
      </w:r>
      <w:r w:rsidR="002F5107">
        <w:t xml:space="preserve">that </w:t>
      </w:r>
      <w:r w:rsidR="007B2100">
        <w:t>when the UE transmits in the UL, the power consumption is dominated by the power amplifier.</w:t>
      </w:r>
    </w:p>
    <w:p w14:paraId="6F861BAA" w14:textId="18A0AC88" w:rsidR="007B2100" w:rsidRDefault="007B2100" w:rsidP="00851033">
      <w:pPr>
        <w:pStyle w:val="BodyText"/>
      </w:pPr>
      <w:r>
        <w:t>T</w:t>
      </w:r>
      <w:r w:rsidRPr="009B1C66">
        <w:t xml:space="preserve">o help reduce </w:t>
      </w:r>
      <w:r>
        <w:t>UE</w:t>
      </w:r>
      <w:r w:rsidRPr="009B1C66">
        <w:t xml:space="preserve"> power consumption</w:t>
      </w:r>
      <w:r>
        <w:t xml:space="preserve">, 5G New Radio (NR) introduced the </w:t>
      </w:r>
      <w:r w:rsidR="00BC09E1">
        <w:t>BWP</w:t>
      </w:r>
      <w:r>
        <w:t xml:space="preserve"> framework from the start in Release 15 for </w:t>
      </w:r>
      <w:r w:rsidRPr="009B1C66">
        <w:t>support</w:t>
      </w:r>
      <w:r>
        <w:t>ing</w:t>
      </w:r>
      <w:r w:rsidRPr="009B1C66">
        <w:t xml:space="preserve"> UE bandwidth adaptation</w:t>
      </w:r>
      <w:r>
        <w:t xml:space="preserve">. To this end, a UE may be configured with multiple BWPs, but it operates in one active BWP at a given time. If the UE has a large amount of data to transmit or receive, the UE operates best in an active BWP configured with a wide bandwidth. On the other hand, if the UE does not have much traffic in </w:t>
      </w:r>
      <w:r w:rsidRPr="009B1C66">
        <w:t>RRC_CONNECTED</w:t>
      </w:r>
      <w:r>
        <w:t xml:space="preserve">, or when the UE is in </w:t>
      </w:r>
      <w:r w:rsidRPr="009B1C66">
        <w:t>RRC_</w:t>
      </w:r>
      <w:r>
        <w:t xml:space="preserve">INACTIVE or </w:t>
      </w:r>
      <w:r w:rsidRPr="009B1C66">
        <w:t>RRC_</w:t>
      </w:r>
      <w:r>
        <w:t>IDLE, the UE can operate in a BWP configured with a small bandwidth to be more energy efficient.</w:t>
      </w:r>
    </w:p>
    <w:p w14:paraId="1D3A7A97" w14:textId="670797B3" w:rsidR="0081025C" w:rsidRDefault="005F7C64" w:rsidP="0081025C">
      <w:pPr>
        <w:pStyle w:val="BodyText"/>
      </w:pPr>
      <w:r>
        <w:t>Many of the first deployed 5G NR networks do not adopt the BWP adaptation framework. Rather, they use BWP#0 configuration option 2 as described in TR38.331</w:t>
      </w:r>
      <w:r w:rsidR="00994930">
        <w:t xml:space="preserve">, </w:t>
      </w:r>
      <w:r w:rsidR="00994930" w:rsidRPr="00994930">
        <w:t xml:space="preserve">Appendix B2, </w:t>
      </w:r>
      <w:r>
        <w:t>to configure only one BWP that spans the entire carrier bandwidth. However, it is foreseen that most of these networks will evolve toward supporting BWP adaptation</w:t>
      </w:r>
      <w:r w:rsidR="0081025C" w:rsidRPr="0081025C">
        <w:t xml:space="preserve"> us</w:t>
      </w:r>
      <w:r w:rsidR="0081025C">
        <w:t>ing</w:t>
      </w:r>
      <w:r w:rsidR="0081025C" w:rsidRPr="0081025C">
        <w:t xml:space="preserve"> BWP#0 configuration option </w:t>
      </w:r>
      <w:r w:rsidR="0081025C">
        <w:t>1</w:t>
      </w:r>
      <w:r w:rsidR="0081025C" w:rsidRPr="0081025C">
        <w:t xml:space="preserve"> as described in TR38.331</w:t>
      </w:r>
      <w:r w:rsidR="00994930">
        <w:t>,</w:t>
      </w:r>
      <w:r w:rsidR="00994930" w:rsidRPr="00994930">
        <w:t xml:space="preserve"> Appendix B2</w:t>
      </w:r>
      <w:r>
        <w:t>. In the discussion of adopting the BWP adaptation framework, an important issue is whether introducing BWP adaptation might have an impact on the important KPIs</w:t>
      </w:r>
      <w:r w:rsidR="00D04EF9">
        <w:t xml:space="preserve"> such as</w:t>
      </w:r>
      <w:r>
        <w:t xml:space="preserve"> the UL peak </w:t>
      </w:r>
      <w:r w:rsidR="00A661E9">
        <w:t xml:space="preserve">user </w:t>
      </w:r>
      <w:r>
        <w:t>data rate.</w:t>
      </w:r>
      <w:r w:rsidR="0081025C">
        <w:t xml:space="preserve"> It can be shown that it is possible to </w:t>
      </w:r>
      <w:r w:rsidR="0081025C" w:rsidRPr="00F831B3">
        <w:t xml:space="preserve">support </w:t>
      </w:r>
      <w:r w:rsidR="0081025C">
        <w:t xml:space="preserve">BWP adaptation between </w:t>
      </w:r>
      <w:r w:rsidR="0081025C" w:rsidRPr="00F831B3">
        <w:t xml:space="preserve">multiple BWP configurations </w:t>
      </w:r>
      <w:r w:rsidR="0081025C">
        <w:t xml:space="preserve">for UE power saving benefits </w:t>
      </w:r>
      <w:r w:rsidR="0081025C" w:rsidRPr="00F831B3">
        <w:t xml:space="preserve">while avoiding </w:t>
      </w:r>
      <w:r w:rsidR="0081025C">
        <w:t xml:space="preserve">any reduction in </w:t>
      </w:r>
      <w:r w:rsidR="0081025C" w:rsidRPr="0081025C">
        <w:t>the UL peak user data rate KPI</w:t>
      </w:r>
      <w:r w:rsidR="0081025C" w:rsidRPr="00F831B3">
        <w:t>.</w:t>
      </w:r>
      <w:r w:rsidR="0081025C">
        <w:t xml:space="preserve"> An example is illustrated in </w:t>
      </w:r>
      <w:r w:rsidR="00D04EF9">
        <w:fldChar w:fldCharType="begin"/>
      </w:r>
      <w:r w:rsidR="00D04EF9">
        <w:instrText xml:space="preserve"> REF _Ref70596378 \h </w:instrText>
      </w:r>
      <w:r w:rsidR="00D04EF9">
        <w:fldChar w:fldCharType="separate"/>
      </w:r>
      <w:r w:rsidR="00A96488">
        <w:t xml:space="preserve">Figure </w:t>
      </w:r>
      <w:r w:rsidR="00A96488">
        <w:rPr>
          <w:noProof/>
        </w:rPr>
        <w:t>1</w:t>
      </w:r>
      <w:r w:rsidR="00D04EF9">
        <w:fldChar w:fldCharType="end"/>
      </w:r>
      <w:r w:rsidR="00D04EF9">
        <w:t>, where it is assumed that the carrier bandwidth is 100 MHz. This example solution achieves the following.</w:t>
      </w:r>
    </w:p>
    <w:p w14:paraId="5E88C775" w14:textId="6FE7EBE3" w:rsidR="005F7C64" w:rsidRDefault="00B670C2" w:rsidP="00771588">
      <w:pPr>
        <w:pStyle w:val="BodyText"/>
        <w:numPr>
          <w:ilvl w:val="0"/>
          <w:numId w:val="29"/>
        </w:numPr>
      </w:pPr>
      <w:r>
        <w:t>A UE can be configured with</w:t>
      </w:r>
      <w:r w:rsidR="00D04EF9">
        <w:t xml:space="preserve"> a narrow initial DL BWP of 20 MHz and a wider non-initial DL BWP of 100 MHz. UE power saving can be achieved by switching the UE to the narrow initial DL BWP if the UE does not have much traffic in </w:t>
      </w:r>
      <w:r w:rsidR="00D04EF9" w:rsidRPr="009B1C66">
        <w:t>RRC_CONNECTED</w:t>
      </w:r>
      <w:r w:rsidR="00D04EF9">
        <w:t xml:space="preserve">, or when the UE is in </w:t>
      </w:r>
      <w:r w:rsidR="00D04EF9" w:rsidRPr="009B1C66">
        <w:t>RRC_</w:t>
      </w:r>
      <w:r w:rsidR="00D04EF9">
        <w:t xml:space="preserve">INACTIVE or </w:t>
      </w:r>
      <w:r w:rsidR="00D04EF9" w:rsidRPr="009B1C66">
        <w:t>RRC_</w:t>
      </w:r>
      <w:r w:rsidR="00D04EF9">
        <w:t>IDLE.</w:t>
      </w:r>
    </w:p>
    <w:p w14:paraId="3ABD797D" w14:textId="33903150" w:rsidR="00D04EF9" w:rsidRDefault="00D04EF9" w:rsidP="00D04EF9">
      <w:pPr>
        <w:pStyle w:val="BodyText"/>
        <w:numPr>
          <w:ilvl w:val="0"/>
          <w:numId w:val="29"/>
        </w:numPr>
      </w:pPr>
      <w:r>
        <w:t xml:space="preserve">A contiguous PUSCH resource is preserved even when there is PUCCH transmission in any of the configured UL BWPs. </w:t>
      </w:r>
      <w:r w:rsidR="00B670C2">
        <w:t xml:space="preserve">This helps achieve the highest </w:t>
      </w:r>
      <w:r w:rsidR="00B670C2" w:rsidRPr="00B670C2">
        <w:t>UL peak user data rate</w:t>
      </w:r>
      <w:r w:rsidR="00B670C2">
        <w:t xml:space="preserve"> KPI.</w:t>
      </w:r>
    </w:p>
    <w:p w14:paraId="248D9A0A" w14:textId="77777777" w:rsidR="0051066B" w:rsidRPr="0051066B" w:rsidRDefault="0051066B" w:rsidP="0051066B">
      <w:pPr>
        <w:rPr>
          <w:lang w:val="en-GB" w:eastAsia="ja-JP"/>
        </w:rPr>
      </w:pPr>
    </w:p>
    <w:p w14:paraId="7E58FA37" w14:textId="32B410A0" w:rsidR="00BC17F1" w:rsidRDefault="0081025C" w:rsidP="002F65FA">
      <w:pPr>
        <w:pStyle w:val="BodyText"/>
        <w:jc w:val="center"/>
      </w:pPr>
      <w:r>
        <w:rPr>
          <w:noProof/>
        </w:rPr>
        <w:drawing>
          <wp:inline distT="0" distB="0" distL="0" distR="0" wp14:anchorId="18A98ED8" wp14:editId="003C4091">
            <wp:extent cx="5055144" cy="346239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060603" cy="3466131"/>
                    </a:xfrm>
                    <a:prstGeom prst="rect">
                      <a:avLst/>
                    </a:prstGeom>
                    <a:noFill/>
                  </pic:spPr>
                </pic:pic>
              </a:graphicData>
            </a:graphic>
          </wp:inline>
        </w:drawing>
      </w:r>
    </w:p>
    <w:p w14:paraId="0034B1DE" w14:textId="6808E217" w:rsidR="00BC17F1" w:rsidRDefault="002F65FA" w:rsidP="002F65FA">
      <w:pPr>
        <w:pStyle w:val="Caption"/>
        <w:jc w:val="center"/>
      </w:pPr>
      <w:bookmarkStart w:id="1" w:name="_Ref70596378"/>
      <w:r>
        <w:t xml:space="preserve">Figure </w:t>
      </w:r>
      <w:r>
        <w:fldChar w:fldCharType="begin"/>
      </w:r>
      <w:r>
        <w:instrText xml:space="preserve"> SEQ Figure \* ARABIC </w:instrText>
      </w:r>
      <w:r>
        <w:fldChar w:fldCharType="separate"/>
      </w:r>
      <w:r w:rsidR="00A96488">
        <w:rPr>
          <w:noProof/>
        </w:rPr>
        <w:t>1</w:t>
      </w:r>
      <w:r>
        <w:fldChar w:fldCharType="end"/>
      </w:r>
      <w:bookmarkEnd w:id="1"/>
      <w:r>
        <w:t xml:space="preserve">: An example of BWP </w:t>
      </w:r>
      <w:r w:rsidRPr="002F65FA">
        <w:t>adaptation for UE power saving</w:t>
      </w:r>
      <w:r>
        <w:t xml:space="preserve"> while avoiding </w:t>
      </w:r>
      <w:r w:rsidR="00D84BC2">
        <w:t xml:space="preserve">any impact on the </w:t>
      </w:r>
      <w:r w:rsidR="00D84BC2" w:rsidRPr="00B670C2">
        <w:t>UL peak user data rate</w:t>
      </w:r>
      <w:r w:rsidR="00D84BC2">
        <w:t xml:space="preserve"> KPI</w:t>
      </w:r>
      <w:r w:rsidR="006438D0">
        <w:t xml:space="preserve"> (100 MHz carrier bandwidth </w:t>
      </w:r>
      <w:r w:rsidR="00456186">
        <w:t xml:space="preserve">in FR1 </w:t>
      </w:r>
      <w:r w:rsidR="006438D0">
        <w:t>is assumed</w:t>
      </w:r>
      <w:r w:rsidR="009C2634">
        <w:t xml:space="preserve"> here</w:t>
      </w:r>
      <w:r w:rsidR="006438D0">
        <w:t>)</w:t>
      </w:r>
      <w:r w:rsidR="00F77F48">
        <w:t>.</w:t>
      </w:r>
    </w:p>
    <w:p w14:paraId="56E08181" w14:textId="77777777" w:rsidR="0051066B" w:rsidRDefault="0051066B" w:rsidP="00CE0424">
      <w:pPr>
        <w:pStyle w:val="BodyText"/>
      </w:pPr>
    </w:p>
    <w:p w14:paraId="4635A919" w14:textId="29A40884" w:rsidR="009C2634" w:rsidRPr="00CE0424" w:rsidRDefault="00B670C2" w:rsidP="00085549">
      <w:pPr>
        <w:pStyle w:val="Observation"/>
      </w:pPr>
      <w:bookmarkStart w:id="2" w:name="_Toc79049333"/>
      <w:r>
        <w:t>In Rel-15/16 networks, B</w:t>
      </w:r>
      <w:r w:rsidRPr="00B670C2">
        <w:t xml:space="preserve">WP adaptation between a narrow initial DL BWP and a wider non-initial DL BWP </w:t>
      </w:r>
      <w:r>
        <w:t xml:space="preserve">can be enabled to help achieve </w:t>
      </w:r>
      <w:r w:rsidRPr="00B670C2">
        <w:t xml:space="preserve">UE power saving </w:t>
      </w:r>
      <w:r>
        <w:t xml:space="preserve">without any impact on the </w:t>
      </w:r>
      <w:r w:rsidRPr="00B670C2">
        <w:t>UL peak user data rate</w:t>
      </w:r>
      <w:r>
        <w:t xml:space="preserve"> KPI</w:t>
      </w:r>
      <w:r w:rsidR="00641F1B">
        <w:t>.</w:t>
      </w:r>
      <w:bookmarkEnd w:id="2"/>
    </w:p>
    <w:p w14:paraId="162625FA" w14:textId="4394D57D" w:rsidR="00F63950" w:rsidRDefault="00933894" w:rsidP="001E3528">
      <w:pPr>
        <w:pStyle w:val="Heading1"/>
      </w:pPr>
      <w:r>
        <w:t>4</w:t>
      </w:r>
      <w:r w:rsidR="00230D18">
        <w:tab/>
      </w:r>
      <w:r w:rsidR="00D83A7B">
        <w:t>Potential</w:t>
      </w:r>
      <w:r w:rsidR="00385AA5">
        <w:t xml:space="preserve"> </w:t>
      </w:r>
      <w:r w:rsidR="001E3528">
        <w:t xml:space="preserve">impact on </w:t>
      </w:r>
      <w:r w:rsidR="001E3528" w:rsidRPr="001E3528">
        <w:t>the UL peak user data rate KPI</w:t>
      </w:r>
      <w:r w:rsidR="001E3528">
        <w:t xml:space="preserve"> </w:t>
      </w:r>
      <w:r w:rsidR="00D83A7B">
        <w:t>due to RedCap support</w:t>
      </w:r>
    </w:p>
    <w:p w14:paraId="130D8D72" w14:textId="6E734C2A" w:rsidR="00A72C4C" w:rsidRDefault="006438D0" w:rsidP="00A04F49">
      <w:pPr>
        <w:pStyle w:val="BodyText"/>
      </w:pPr>
      <w:r>
        <w:t xml:space="preserve">To support RedCap UEs, which have </w:t>
      </w:r>
      <w:r w:rsidR="00727A22">
        <w:t xml:space="preserve">a </w:t>
      </w:r>
      <w:r>
        <w:t>maximum UE bandwidth of 20 MHz</w:t>
      </w:r>
      <w:r w:rsidR="00456186">
        <w:t xml:space="preserve"> in FR1</w:t>
      </w:r>
      <w:r w:rsidR="00522FA5">
        <w:t xml:space="preserve">, </w:t>
      </w:r>
      <w:r w:rsidR="004F2518">
        <w:t xml:space="preserve">the working assumption in RAN1 </w:t>
      </w:r>
      <w:r w:rsidR="00522FA5">
        <w:t xml:space="preserve">is to limit the initial </w:t>
      </w:r>
      <w:r w:rsidR="00BD02E9">
        <w:t xml:space="preserve">UL </w:t>
      </w:r>
      <w:r w:rsidR="006031D7">
        <w:t>BWP</w:t>
      </w:r>
      <w:r w:rsidR="00BD02E9">
        <w:t xml:space="preserve"> to 20 MHz. </w:t>
      </w:r>
    </w:p>
    <w:p w14:paraId="4542CCF4" w14:textId="6CA08032" w:rsidR="00070E2A" w:rsidRDefault="00762B78" w:rsidP="00A04F49">
      <w:pPr>
        <w:pStyle w:val="BodyText"/>
      </w:pPr>
      <w:r>
        <w:t>An example</w:t>
      </w:r>
      <w:r w:rsidR="004F2518">
        <w:t xml:space="preserve"> of possible BWP configurations</w:t>
      </w:r>
      <w:r w:rsidR="00BD02E9">
        <w:t xml:space="preserve"> is illustrated in </w:t>
      </w:r>
      <w:r>
        <w:fldChar w:fldCharType="begin"/>
      </w:r>
      <w:r>
        <w:instrText xml:space="preserve"> REF _Ref70597866 \h </w:instrText>
      </w:r>
      <w:r>
        <w:fldChar w:fldCharType="separate"/>
      </w:r>
      <w:r w:rsidR="00A96488">
        <w:t xml:space="preserve">Figure </w:t>
      </w:r>
      <w:r w:rsidR="00A96488">
        <w:rPr>
          <w:noProof/>
        </w:rPr>
        <w:t>2</w:t>
      </w:r>
      <w:r>
        <w:fldChar w:fldCharType="end"/>
      </w:r>
      <w:r>
        <w:t>.</w:t>
      </w:r>
      <w:r w:rsidR="00070E2A">
        <w:t xml:space="preserve"> </w:t>
      </w:r>
      <w:r>
        <w:t>According to this example</w:t>
      </w:r>
      <w:r w:rsidR="00070E2A">
        <w:t>:</w:t>
      </w:r>
    </w:p>
    <w:p w14:paraId="6E9B65B0" w14:textId="77777777" w:rsidR="00070E2A" w:rsidRDefault="00070E2A" w:rsidP="00070E2A">
      <w:pPr>
        <w:pStyle w:val="BodyText"/>
        <w:numPr>
          <w:ilvl w:val="0"/>
          <w:numId w:val="30"/>
        </w:numPr>
      </w:pPr>
      <w:r>
        <w:t>T</w:t>
      </w:r>
      <w:r w:rsidR="00143F30">
        <w:t xml:space="preserve">he initial </w:t>
      </w:r>
      <w:r>
        <w:t xml:space="preserve">DL </w:t>
      </w:r>
      <w:r w:rsidR="00143F30">
        <w:t xml:space="preserve">BWPs </w:t>
      </w:r>
      <w:r w:rsidR="0039792C">
        <w:t>(BWP#0)</w:t>
      </w:r>
      <w:r w:rsidR="00143F30">
        <w:t xml:space="preserve"> </w:t>
      </w:r>
      <w:r>
        <w:t>is</w:t>
      </w:r>
      <w:r w:rsidR="00143F30">
        <w:t xml:space="preserve"> configured to 20 MHz and can be shared by non-RedCap and RedCap UEs.</w:t>
      </w:r>
    </w:p>
    <w:p w14:paraId="0066B6A0" w14:textId="7FB12F85" w:rsidR="00070E2A" w:rsidRDefault="00070E2A" w:rsidP="00070E2A">
      <w:pPr>
        <w:pStyle w:val="BodyText"/>
        <w:numPr>
          <w:ilvl w:val="0"/>
          <w:numId w:val="30"/>
        </w:numPr>
      </w:pPr>
      <w:r>
        <w:t>The initial UL BWP for non-RedCap UE is configured to the carrier bandwidth (</w:t>
      </w:r>
      <w:r w:rsidR="00B909A3">
        <w:t xml:space="preserve">a </w:t>
      </w:r>
      <w:r>
        <w:t xml:space="preserve">100 MHz </w:t>
      </w:r>
      <w:r w:rsidR="00B909A3">
        <w:t xml:space="preserve">TDD carrier </w:t>
      </w:r>
      <w:r>
        <w:t>in this example). This is advantageous for avoiding PUSCH resource fragmentation caused by PUCCH</w:t>
      </w:r>
      <w:r w:rsidR="007A2B9D">
        <w:t xml:space="preserve"> frequency hopping</w:t>
      </w:r>
      <w:r>
        <w:t xml:space="preserve"> </w:t>
      </w:r>
      <w:r w:rsidR="007A2B9D">
        <w:t>(</w:t>
      </w:r>
      <w:r>
        <w:t>FH</w:t>
      </w:r>
      <w:r w:rsidR="007A2B9D">
        <w:t>)</w:t>
      </w:r>
      <w:r>
        <w:t xml:space="preserve"> during initial access of a non-RedCap UE.</w:t>
      </w:r>
    </w:p>
    <w:p w14:paraId="7A29A70A" w14:textId="081B088F" w:rsidR="00070E2A" w:rsidRDefault="00070E2A" w:rsidP="00070E2A">
      <w:pPr>
        <w:pStyle w:val="BodyText"/>
        <w:numPr>
          <w:ilvl w:val="0"/>
          <w:numId w:val="30"/>
        </w:numPr>
      </w:pPr>
      <w:r>
        <w:t xml:space="preserve">Since the initial UL BWP for non-RedCap UEs is configured to have a bandwidth wider than the maximum RedCap UE bandwidth, a separate </w:t>
      </w:r>
      <w:r w:rsidR="008C2577">
        <w:t xml:space="preserve">initial </w:t>
      </w:r>
      <w:r>
        <w:t>UL BWP of 20 MHz is configured for RedCap UEs.</w:t>
      </w:r>
      <w:r w:rsidR="008C2577">
        <w:t xml:space="preserve"> </w:t>
      </w:r>
      <w:r w:rsidR="00B909A3">
        <w:t>Since this example is based on a TDD carrier, t</w:t>
      </w:r>
      <w:r w:rsidR="008C2577">
        <w:t xml:space="preserve">his separate initial UL BWP </w:t>
      </w:r>
      <w:r w:rsidR="009567D6">
        <w:t xml:space="preserve">is </w:t>
      </w:r>
      <w:r w:rsidR="00A65B17">
        <w:t xml:space="preserve">in this example </w:t>
      </w:r>
      <w:r w:rsidR="009567D6">
        <w:t>assumed to have</w:t>
      </w:r>
      <w:r w:rsidR="008C2577">
        <w:t xml:space="preserve"> the same center frequency as the initial DL BWP, and therefore is also configured to position at the middle of the carrier.</w:t>
      </w:r>
    </w:p>
    <w:p w14:paraId="40FEE2ED" w14:textId="521728D3" w:rsidR="00070E2A" w:rsidRDefault="00070E2A" w:rsidP="00070E2A">
      <w:pPr>
        <w:pStyle w:val="BodyText"/>
        <w:numPr>
          <w:ilvl w:val="0"/>
          <w:numId w:val="30"/>
        </w:numPr>
      </w:pPr>
      <w:r>
        <w:t>Non-initial DL BWPs</w:t>
      </w:r>
      <w:r w:rsidR="009362CF">
        <w:t xml:space="preserve"> (e.g., BWP#1)</w:t>
      </w:r>
      <w:r>
        <w:t xml:space="preserve"> are separately configured for non-RedCap and RedCap UEs according to </w:t>
      </w:r>
      <w:r w:rsidR="008C2577">
        <w:t>their different</w:t>
      </w:r>
      <w:r>
        <w:t xml:space="preserve"> bandwidth capabilit</w:t>
      </w:r>
      <w:r w:rsidR="008C2577">
        <w:t>ies</w:t>
      </w:r>
      <w:r>
        <w:t>.</w:t>
      </w:r>
    </w:p>
    <w:p w14:paraId="6278FF66" w14:textId="1024109F" w:rsidR="00070E2A" w:rsidRDefault="00070E2A" w:rsidP="00070E2A">
      <w:pPr>
        <w:pStyle w:val="BodyText"/>
        <w:numPr>
          <w:ilvl w:val="0"/>
          <w:numId w:val="30"/>
        </w:numPr>
      </w:pPr>
      <w:r>
        <w:t>Non-initial UL BWP</w:t>
      </w:r>
      <w:r w:rsidR="009362CF">
        <w:t xml:space="preserve"> (e.g., BWP#1)</w:t>
      </w:r>
      <w:r>
        <w:t xml:space="preserve"> is also configured for RedCap UEs. It is advantageous to place this BWP </w:t>
      </w:r>
      <w:r w:rsidR="007D428F">
        <w:t xml:space="preserve">at </w:t>
      </w:r>
      <w:r>
        <w:t>the carrier edge</w:t>
      </w:r>
      <w:r w:rsidR="00994930">
        <w:t xml:space="preserve"> and disable PUCCH FH</w:t>
      </w:r>
      <w:r>
        <w:t xml:space="preserve"> to avoid PUSCH resource fragmentation caused by the UL traffic from a RedCap UE.</w:t>
      </w:r>
    </w:p>
    <w:p w14:paraId="79BCC2D6" w14:textId="3FDBEACF" w:rsidR="00762B78" w:rsidRDefault="00143F30" w:rsidP="00A04F49">
      <w:pPr>
        <w:pStyle w:val="BodyText"/>
      </w:pPr>
      <w:r>
        <w:t xml:space="preserve">As </w:t>
      </w:r>
      <w:r w:rsidR="003338D1">
        <w:t>illustrated</w:t>
      </w:r>
      <w:r>
        <w:t xml:space="preserve"> in </w:t>
      </w:r>
      <w:r>
        <w:fldChar w:fldCharType="begin"/>
      </w:r>
      <w:r>
        <w:instrText xml:space="preserve"> REF _Ref70597866 \h </w:instrText>
      </w:r>
      <w:r>
        <w:fldChar w:fldCharType="separate"/>
      </w:r>
      <w:r w:rsidR="00A96488">
        <w:t xml:space="preserve">Figure </w:t>
      </w:r>
      <w:r w:rsidR="00A96488">
        <w:rPr>
          <w:noProof/>
        </w:rPr>
        <w:t>2</w:t>
      </w:r>
      <w:r>
        <w:fldChar w:fldCharType="end"/>
      </w:r>
      <w:r>
        <w:t xml:space="preserve">, </w:t>
      </w:r>
      <w:r w:rsidR="003338D1">
        <w:t xml:space="preserve">one drawback with this configuration is that </w:t>
      </w:r>
      <w:r w:rsidR="00762B78">
        <w:t xml:space="preserve">the UL resources are fragmented into </w:t>
      </w:r>
      <w:r w:rsidR="003338D1">
        <w:t>3</w:t>
      </w:r>
      <w:r w:rsidR="00762B78">
        <w:t xml:space="preserve"> contiguous segments with each contiguous segment limited to 40 MHz or less</w:t>
      </w:r>
      <w:r w:rsidR="008B0289">
        <w:t xml:space="preserve"> </w:t>
      </w:r>
      <w:r w:rsidR="001520FF">
        <w:t>when a RedCap UE transmits</w:t>
      </w:r>
      <w:r w:rsidR="008B0289">
        <w:t xml:space="preserve"> PUCCH in the initial UL BWP</w:t>
      </w:r>
      <w:r w:rsidR="006F355E">
        <w:t xml:space="preserve"> during initial access</w:t>
      </w:r>
      <w:r w:rsidR="00762B78">
        <w:t xml:space="preserve">. </w:t>
      </w:r>
      <w:r w:rsidR="00F2477F">
        <w:t xml:space="preserve">Note that a Rel-15/16 UE cannot be expected to support non-contiguous PUSCH resource allocation as </w:t>
      </w:r>
      <w:r w:rsidR="006471E2">
        <w:t xml:space="preserve">the features of </w:t>
      </w:r>
      <w:r w:rsidR="00F2477F" w:rsidRPr="00F2477F">
        <w:t>supporting almost contiguous UL CP-OFDM (Feature 2-7 defined in TR</w:t>
      </w:r>
      <w:r w:rsidR="00357CB6">
        <w:t xml:space="preserve"> </w:t>
      </w:r>
      <w:r w:rsidR="00F2477F" w:rsidRPr="00F2477F">
        <w:t xml:space="preserve">38.822) </w:t>
      </w:r>
      <w:r w:rsidR="006471E2">
        <w:t>and</w:t>
      </w:r>
      <w:r w:rsidR="00F2477F" w:rsidRPr="00F2477F">
        <w:t xml:space="preserve"> </w:t>
      </w:r>
      <w:r w:rsidR="006471E2">
        <w:t xml:space="preserve">supporting </w:t>
      </w:r>
      <w:r w:rsidR="00F2477F" w:rsidRPr="00F2477F">
        <w:t xml:space="preserve">resource allocation Type 0 for PUSCH (Feature </w:t>
      </w:r>
      <w:r w:rsidR="006471E2">
        <w:t xml:space="preserve">5-2 </w:t>
      </w:r>
      <w:r w:rsidR="00F2477F" w:rsidRPr="00F2477F">
        <w:t>defined in TR 38.822) are optional with capability signaling.</w:t>
      </w:r>
      <w:r w:rsidR="00F2477F">
        <w:t xml:space="preserve"> </w:t>
      </w:r>
      <w:r w:rsidR="00762B78">
        <w:t xml:space="preserve">This means </w:t>
      </w:r>
      <w:r w:rsidR="000A426F">
        <w:t>that</w:t>
      </w:r>
      <w:r w:rsidR="00762B78">
        <w:t xml:space="preserve"> whenever there is </w:t>
      </w:r>
      <w:r>
        <w:t xml:space="preserve">a </w:t>
      </w:r>
      <w:r w:rsidR="00762B78">
        <w:t xml:space="preserve">PUCCH transmission </w:t>
      </w:r>
      <w:r w:rsidR="006F355E">
        <w:t xml:space="preserve">from a RedCap UE </w:t>
      </w:r>
      <w:r w:rsidR="00762B78">
        <w:t xml:space="preserve">during the initial access in the initial UL BWP, the </w:t>
      </w:r>
      <w:r w:rsidR="00E31852">
        <w:t xml:space="preserve">uplink </w:t>
      </w:r>
      <w:r w:rsidR="00762B78">
        <w:t xml:space="preserve">peak data rate of a non-RedCap UE </w:t>
      </w:r>
      <w:r w:rsidR="009A581E">
        <w:t>is</w:t>
      </w:r>
      <w:r w:rsidR="00762B78">
        <w:t xml:space="preserve"> reduced by </w:t>
      </w:r>
      <w:r w:rsidR="009A581E">
        <w:t xml:space="preserve">up to </w:t>
      </w:r>
      <w:r w:rsidR="00762B78">
        <w:t>60%</w:t>
      </w:r>
      <w:r w:rsidR="00994930">
        <w:t xml:space="preserve"> (see </w:t>
      </w:r>
      <w:r w:rsidR="00994930">
        <w:fldChar w:fldCharType="begin"/>
      </w:r>
      <w:r w:rsidR="00994930">
        <w:instrText xml:space="preserve"> REF _Ref70682954 \r \h </w:instrText>
      </w:r>
      <w:r w:rsidR="00994930">
        <w:fldChar w:fldCharType="separate"/>
      </w:r>
      <w:r w:rsidR="00A96488">
        <w:t>[4]</w:t>
      </w:r>
      <w:r w:rsidR="00994930">
        <w:fldChar w:fldCharType="end"/>
      </w:r>
      <w:r w:rsidR="00994930">
        <w:t>)</w:t>
      </w:r>
      <w:r w:rsidR="00762B78">
        <w:t>. The fragmented PUSCH resources may be left unused if the gNB scheduler cannot schedule another UE due to timing constraint or other reasons.</w:t>
      </w:r>
      <w:r w:rsidR="007C1794">
        <w:t xml:space="preserve"> This, in turn, results in an under-utilization of UL resources.</w:t>
      </w:r>
    </w:p>
    <w:p w14:paraId="58C9BD24" w14:textId="77777777" w:rsidR="00762B78" w:rsidRDefault="00762B78" w:rsidP="00A04F49">
      <w:pPr>
        <w:pStyle w:val="BodyText"/>
      </w:pPr>
    </w:p>
    <w:p w14:paraId="303F521F" w14:textId="529E5FDA" w:rsidR="008E0D80" w:rsidRDefault="00820191" w:rsidP="00FA4F69">
      <w:pPr>
        <w:pStyle w:val="BodyText"/>
        <w:jc w:val="center"/>
      </w:pPr>
      <w:r>
        <w:rPr>
          <w:noProof/>
        </w:rPr>
        <w:drawing>
          <wp:inline distT="0" distB="0" distL="0" distR="0" wp14:anchorId="3747CDC3" wp14:editId="614B7681">
            <wp:extent cx="6475674" cy="5571944"/>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479067" cy="5574864"/>
                    </a:xfrm>
                    <a:prstGeom prst="rect">
                      <a:avLst/>
                    </a:prstGeom>
                    <a:noFill/>
                  </pic:spPr>
                </pic:pic>
              </a:graphicData>
            </a:graphic>
          </wp:inline>
        </w:drawing>
      </w:r>
    </w:p>
    <w:p w14:paraId="022E6D36" w14:textId="09F64526" w:rsidR="00762B78" w:rsidRDefault="00762B78" w:rsidP="00762B78">
      <w:pPr>
        <w:pStyle w:val="Caption"/>
        <w:jc w:val="center"/>
      </w:pPr>
      <w:bookmarkStart w:id="3" w:name="_Ref70597866"/>
      <w:r>
        <w:t xml:space="preserve">Figure </w:t>
      </w:r>
      <w:r>
        <w:fldChar w:fldCharType="begin"/>
      </w:r>
      <w:r>
        <w:instrText xml:space="preserve"> SEQ Figure \* ARABIC </w:instrText>
      </w:r>
      <w:r>
        <w:fldChar w:fldCharType="separate"/>
      </w:r>
      <w:r w:rsidR="00A96488">
        <w:rPr>
          <w:noProof/>
        </w:rPr>
        <w:t>2</w:t>
      </w:r>
      <w:r>
        <w:fldChar w:fldCharType="end"/>
      </w:r>
      <w:bookmarkEnd w:id="3"/>
      <w:r>
        <w:t xml:space="preserve">: </w:t>
      </w:r>
      <w:r w:rsidR="00B8686D">
        <w:t xml:space="preserve">An example of </w:t>
      </w:r>
      <w:r>
        <w:t>PUSCH resource fragmentation</w:t>
      </w:r>
      <w:r w:rsidR="00CC3BC8">
        <w:t>.</w:t>
      </w:r>
      <w:r>
        <w:t xml:space="preserve"> (</w:t>
      </w:r>
      <w:r w:rsidR="00A711F0">
        <w:t xml:space="preserve">a </w:t>
      </w:r>
      <w:r>
        <w:t xml:space="preserve">100 MHz </w:t>
      </w:r>
      <w:r w:rsidR="00A711F0">
        <w:t xml:space="preserve">TDD </w:t>
      </w:r>
      <w:r>
        <w:t xml:space="preserve">carrier </w:t>
      </w:r>
      <w:r w:rsidR="00CC3BC8">
        <w:t xml:space="preserve">in FR1 </w:t>
      </w:r>
      <w:r>
        <w:t>is assumed.)</w:t>
      </w:r>
    </w:p>
    <w:p w14:paraId="52B6D444" w14:textId="20D0A42C" w:rsidR="00762B78" w:rsidRDefault="00762B78" w:rsidP="00762B78">
      <w:pPr>
        <w:rPr>
          <w:lang w:eastAsia="en-GB"/>
        </w:rPr>
      </w:pPr>
    </w:p>
    <w:p w14:paraId="7907A4F1" w14:textId="035FAA8D" w:rsidR="00B82756" w:rsidRDefault="00B82756" w:rsidP="00B82756">
      <w:pPr>
        <w:pStyle w:val="BodyText"/>
      </w:pPr>
      <w:r>
        <w:t xml:space="preserve">One may argue that one solution to mitigate the problem illustrated in </w:t>
      </w:r>
      <w:r>
        <w:fldChar w:fldCharType="begin"/>
      </w:r>
      <w:r>
        <w:instrText xml:space="preserve"> REF _Ref70597866 \h </w:instrText>
      </w:r>
      <w:r>
        <w:fldChar w:fldCharType="separate"/>
      </w:r>
      <w:r w:rsidR="00A96488">
        <w:t xml:space="preserve">Figure </w:t>
      </w:r>
      <w:r w:rsidR="00A96488">
        <w:rPr>
          <w:noProof/>
        </w:rPr>
        <w:t>2</w:t>
      </w:r>
      <w:r>
        <w:fldChar w:fldCharType="end"/>
      </w:r>
      <w:r>
        <w:t xml:space="preserve"> is to shift the initial BWPs to the carrier edge and disable the PUCCH frequency hopping in the non-initial UL BWP for RedCap, as illustrated in </w:t>
      </w:r>
      <w:r w:rsidR="00385AA5">
        <w:fldChar w:fldCharType="begin"/>
      </w:r>
      <w:r w:rsidR="00385AA5">
        <w:instrText xml:space="preserve"> REF _Ref70598793 \h </w:instrText>
      </w:r>
      <w:r w:rsidR="00385AA5">
        <w:fldChar w:fldCharType="end"/>
      </w:r>
      <w:r w:rsidR="00385AA5">
        <w:t>. However</w:t>
      </w:r>
      <w:r w:rsidR="009B2D31">
        <w:t>,</w:t>
      </w:r>
      <w:r w:rsidR="00385AA5">
        <w:t xml:space="preserve"> even with such an improved configuration,</w:t>
      </w:r>
      <w:r w:rsidR="00355A0B">
        <w:t xml:space="preserve"> since </w:t>
      </w:r>
      <w:r w:rsidR="00202F56">
        <w:t>according to</w:t>
      </w:r>
      <w:r w:rsidR="00355A0B">
        <w:t xml:space="preserve"> the current specifications the PUCCH FH is always enabled during the initial access</w:t>
      </w:r>
      <w:r w:rsidR="009B1531">
        <w:t xml:space="preserve"> (Msg4HARQ A</w:t>
      </w:r>
      <w:r w:rsidR="00C55996">
        <w:t>CK</w:t>
      </w:r>
      <w:r w:rsidR="009B1531">
        <w:t>)</w:t>
      </w:r>
      <w:r w:rsidR="00355A0B">
        <w:t>,</w:t>
      </w:r>
      <w:r w:rsidR="00385AA5">
        <w:t xml:space="preserve"> the </w:t>
      </w:r>
      <w:r w:rsidR="00473845">
        <w:t xml:space="preserve">overall </w:t>
      </w:r>
      <w:r w:rsidR="00385AA5">
        <w:t xml:space="preserve">PUSCH resource fragmentation </w:t>
      </w:r>
      <w:r w:rsidR="00A643F0">
        <w:t xml:space="preserve">resulting from </w:t>
      </w:r>
      <w:r w:rsidR="00A02A4C">
        <w:t xml:space="preserve">the </w:t>
      </w:r>
      <w:r w:rsidR="00A643F0">
        <w:t>PUCCH transmission</w:t>
      </w:r>
      <w:r w:rsidR="00A02A4C">
        <w:t>s</w:t>
      </w:r>
      <w:r w:rsidR="00A643F0">
        <w:t xml:space="preserve"> from RedCap UEs</w:t>
      </w:r>
      <w:r w:rsidR="00385AA5">
        <w:t xml:space="preserve"> may still </w:t>
      </w:r>
      <w:r w:rsidR="00D83A7B">
        <w:t xml:space="preserve">be very significant in some scenarios. One example is illustrated in </w:t>
      </w:r>
      <w:r w:rsidR="00D83A7B">
        <w:fldChar w:fldCharType="begin"/>
      </w:r>
      <w:r w:rsidR="00D83A7B">
        <w:instrText xml:space="preserve"> REF _Ref70598793 \h </w:instrText>
      </w:r>
      <w:r w:rsidR="00D83A7B">
        <w:fldChar w:fldCharType="end"/>
      </w:r>
      <w:r w:rsidR="00D83A7B">
        <w:t>, which shows that there could be a</w:t>
      </w:r>
      <w:r w:rsidR="00385AA5">
        <w:t xml:space="preserve"> 50% </w:t>
      </w:r>
      <w:r w:rsidR="00D83A7B">
        <w:t xml:space="preserve">reduction in </w:t>
      </w:r>
      <w:r w:rsidR="00385AA5">
        <w:t>UL peak data rate on a 40 MHz carrier.</w:t>
      </w:r>
      <w:r w:rsidR="00E328C8">
        <w:t xml:space="preserve"> Clearly, without any en</w:t>
      </w:r>
      <w:r w:rsidR="005909D5">
        <w:t>h</w:t>
      </w:r>
      <w:r w:rsidR="00E328C8">
        <w:t>an</w:t>
      </w:r>
      <w:r w:rsidR="005909D5">
        <w:t>ce</w:t>
      </w:r>
      <w:r w:rsidR="00E328C8">
        <w:t>ment, the UL peak data rate reduction due to the PUSCH resource fragmentation can be significant in most cases.</w:t>
      </w:r>
      <w:r w:rsidR="008B1296">
        <w:t xml:space="preserve"> A thorough study on UL peak data rate reduction in all possible scenarios is presented in our companion paper in </w:t>
      </w:r>
      <w:r w:rsidR="008B1296">
        <w:fldChar w:fldCharType="begin"/>
      </w:r>
      <w:r w:rsidR="008B1296">
        <w:instrText xml:space="preserve"> REF _Ref76972871 \r \h </w:instrText>
      </w:r>
      <w:r w:rsidR="008B1296">
        <w:fldChar w:fldCharType="separate"/>
      </w:r>
      <w:r w:rsidR="00A96488">
        <w:t>[4]</w:t>
      </w:r>
      <w:r w:rsidR="008B1296">
        <w:fldChar w:fldCharType="end"/>
      </w:r>
      <w:r w:rsidR="008B1296">
        <w:t>.</w:t>
      </w:r>
    </w:p>
    <w:p w14:paraId="06ACE86B" w14:textId="335838B3" w:rsidR="00A522B1" w:rsidRDefault="00A522B1" w:rsidP="00B82756">
      <w:pPr>
        <w:pStyle w:val="BodyText"/>
      </w:pPr>
      <w:r>
        <w:t xml:space="preserve">According to the experiences observed in deployed </w:t>
      </w:r>
      <w:r w:rsidR="00821B43">
        <w:t xml:space="preserve">LTE </w:t>
      </w:r>
      <w:r>
        <w:t>network</w:t>
      </w:r>
      <w:r w:rsidR="00B8686D">
        <w:t>s</w:t>
      </w:r>
      <w:r>
        <w:t xml:space="preserve">, </w:t>
      </w:r>
      <w:r w:rsidR="00706F80">
        <w:t>the</w:t>
      </w:r>
      <w:r>
        <w:t xml:space="preserve"> random</w:t>
      </w:r>
      <w:r w:rsidR="001520FF">
        <w:t xml:space="preserve"> </w:t>
      </w:r>
      <w:r>
        <w:t xml:space="preserve">access procedure can generate significant traffic. We expect this will also be the case for deployed NR networks. Thus, PUCCH transmissions during random access procedures </w:t>
      </w:r>
      <w:r w:rsidR="00B73261">
        <w:t>can</w:t>
      </w:r>
      <w:r>
        <w:t xml:space="preserve">not be </w:t>
      </w:r>
      <w:r w:rsidR="00B73261">
        <w:t>assumed to</w:t>
      </w:r>
      <w:r>
        <w:t xml:space="preserve"> be infrequent events in a cell. Thus, it is of great importance </w:t>
      </w:r>
      <w:r w:rsidR="00DD1BEF">
        <w:t>that</w:t>
      </w:r>
      <w:r>
        <w:t xml:space="preserve"> RAN1 address</w:t>
      </w:r>
      <w:r w:rsidR="00DD1BEF">
        <w:t>es</w:t>
      </w:r>
      <w:r>
        <w:t xml:space="preserve"> the issue of PUSCH resource fragmentation caused by PUCCH transmissions.</w:t>
      </w:r>
    </w:p>
    <w:p w14:paraId="5A83FF9F" w14:textId="77777777" w:rsidR="00A711F0" w:rsidRDefault="00A711F0" w:rsidP="00B82756">
      <w:pPr>
        <w:pStyle w:val="BodyText"/>
      </w:pPr>
    </w:p>
    <w:p w14:paraId="143F53F1" w14:textId="77777777" w:rsidR="00A711F0" w:rsidRPr="00762B78" w:rsidRDefault="00A711F0" w:rsidP="00A711F0">
      <w:pPr>
        <w:jc w:val="center"/>
        <w:rPr>
          <w:lang w:eastAsia="en-GB"/>
        </w:rPr>
      </w:pPr>
      <w:r>
        <w:rPr>
          <w:noProof/>
          <w:lang w:eastAsia="en-GB"/>
        </w:rPr>
        <w:drawing>
          <wp:inline distT="0" distB="0" distL="0" distR="0" wp14:anchorId="504FF960" wp14:editId="271EB2FD">
            <wp:extent cx="4152044" cy="4644118"/>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158538" cy="4651381"/>
                    </a:xfrm>
                    <a:prstGeom prst="rect">
                      <a:avLst/>
                    </a:prstGeom>
                    <a:noFill/>
                  </pic:spPr>
                </pic:pic>
              </a:graphicData>
            </a:graphic>
          </wp:inline>
        </w:drawing>
      </w:r>
    </w:p>
    <w:p w14:paraId="5C8408BC" w14:textId="476F6CE9" w:rsidR="00A711F0" w:rsidRDefault="00A711F0" w:rsidP="00A711F0">
      <w:pPr>
        <w:pStyle w:val="Caption"/>
        <w:jc w:val="center"/>
      </w:pPr>
      <w:r>
        <w:t xml:space="preserve">Figure </w:t>
      </w:r>
      <w:r>
        <w:fldChar w:fldCharType="begin"/>
      </w:r>
      <w:r>
        <w:instrText xml:space="preserve"> SEQ Figure \* ARABIC </w:instrText>
      </w:r>
      <w:r>
        <w:fldChar w:fldCharType="separate"/>
      </w:r>
      <w:r w:rsidR="00A96488">
        <w:rPr>
          <w:noProof/>
        </w:rPr>
        <w:t>3</w:t>
      </w:r>
      <w:r>
        <w:fldChar w:fldCharType="end"/>
      </w:r>
      <w:r>
        <w:t>: An example of PUSCH resource fragmentation (a 40 MHz TDD carrier in FR1 is assumed).</w:t>
      </w:r>
    </w:p>
    <w:p w14:paraId="0B47424D" w14:textId="77777777" w:rsidR="006471E2" w:rsidRDefault="006471E2" w:rsidP="00B82756">
      <w:pPr>
        <w:pStyle w:val="BodyText"/>
      </w:pPr>
    </w:p>
    <w:p w14:paraId="55239822" w14:textId="63845C9C" w:rsidR="006471E2" w:rsidRDefault="006471E2" w:rsidP="00AD2FB3">
      <w:pPr>
        <w:pStyle w:val="Observation"/>
      </w:pPr>
      <w:bookmarkStart w:id="4" w:name="_Toc79049334"/>
      <w:r>
        <w:t>A</w:t>
      </w:r>
      <w:r w:rsidRPr="006471E2">
        <w:t xml:space="preserve"> Rel-15/16 UE cannot be expected to support non-contiguous PUSCH resource allocation as </w:t>
      </w:r>
      <w:r>
        <w:t xml:space="preserve">the features of </w:t>
      </w:r>
      <w:r w:rsidRPr="006471E2">
        <w:t>supporting almost contiguous UL CP-OFDM (Feature 2-7 defined in TR</w:t>
      </w:r>
      <w:r w:rsidR="00357CB6">
        <w:t xml:space="preserve"> </w:t>
      </w:r>
      <w:r w:rsidRPr="006471E2">
        <w:t xml:space="preserve">38.822) </w:t>
      </w:r>
      <w:r>
        <w:t>and</w:t>
      </w:r>
      <w:r w:rsidRPr="006471E2">
        <w:t xml:space="preserve"> </w:t>
      </w:r>
      <w:r>
        <w:t xml:space="preserve">supporting </w:t>
      </w:r>
      <w:r w:rsidRPr="006471E2">
        <w:t xml:space="preserve">resource allocation Type 0 for PUSCH (Feature </w:t>
      </w:r>
      <w:r>
        <w:t xml:space="preserve">5-2 </w:t>
      </w:r>
      <w:r w:rsidRPr="006471E2">
        <w:t>defined in TR 38.822) are optional with capability signaling.</w:t>
      </w:r>
      <w:bookmarkEnd w:id="4"/>
    </w:p>
    <w:p w14:paraId="60243AE1" w14:textId="6B49FB7E" w:rsidR="00B27E9C" w:rsidRDefault="00385AA5" w:rsidP="00385AA5">
      <w:pPr>
        <w:pStyle w:val="Observation"/>
      </w:pPr>
      <w:bookmarkStart w:id="5" w:name="_Toc79049335"/>
      <w:r>
        <w:t xml:space="preserve">Without enhancing the existing BWP or PUCCH solutions, PUSCH resource fragmentation </w:t>
      </w:r>
      <w:r w:rsidR="008E0CEB">
        <w:t>due to PUCCH transmissions from RedCap UEs</w:t>
      </w:r>
      <w:r>
        <w:t xml:space="preserve"> may result in a significant </w:t>
      </w:r>
      <w:r w:rsidR="00B27E9C">
        <w:t xml:space="preserve">reduction in </w:t>
      </w:r>
      <w:r>
        <w:t xml:space="preserve">UL peak </w:t>
      </w:r>
      <w:r w:rsidR="005C2FE8">
        <w:t xml:space="preserve">user </w:t>
      </w:r>
      <w:r>
        <w:t xml:space="preserve">data rate </w:t>
      </w:r>
      <w:r w:rsidR="00B27E9C">
        <w:t>KPI.</w:t>
      </w:r>
      <w:bookmarkEnd w:id="5"/>
    </w:p>
    <w:p w14:paraId="06D0E37D" w14:textId="10420597" w:rsidR="00385AA5" w:rsidRDefault="00B27E9C" w:rsidP="00385AA5">
      <w:pPr>
        <w:pStyle w:val="Observation"/>
      </w:pPr>
      <w:bookmarkStart w:id="6" w:name="_Toc79049336"/>
      <w:r>
        <w:t>Without enhancing the existing BWP or PUCCH solutions, PUSCH resource fragmentation due to PUCCH transmissions from RedCap UEs may also result in</w:t>
      </w:r>
      <w:r w:rsidR="00385AA5">
        <w:t xml:space="preserve"> under-utilization of UL resources.</w:t>
      </w:r>
      <w:bookmarkEnd w:id="6"/>
    </w:p>
    <w:p w14:paraId="5340CD57" w14:textId="77777777" w:rsidR="00994930" w:rsidRDefault="00994930" w:rsidP="00892076">
      <w:pPr>
        <w:pStyle w:val="Observation"/>
        <w:numPr>
          <w:ilvl w:val="0"/>
          <w:numId w:val="0"/>
        </w:numPr>
        <w:ind w:left="1701"/>
      </w:pPr>
    </w:p>
    <w:p w14:paraId="4AD30C39" w14:textId="3B1FEFD7" w:rsidR="00A522B1" w:rsidRDefault="00A522B1" w:rsidP="001C3E11">
      <w:pPr>
        <w:pStyle w:val="Observation"/>
      </w:pPr>
      <w:bookmarkStart w:id="7" w:name="_Toc79049337"/>
      <w:r w:rsidRPr="00A522B1">
        <w:t xml:space="preserve">PUCCH transmissions during random access procedures for Msg4 acknowledgement </w:t>
      </w:r>
      <w:r w:rsidR="00AB6AB1">
        <w:t>can</w:t>
      </w:r>
      <w:r w:rsidRPr="00A522B1">
        <w:t xml:space="preserve"> be frequent events in a cell. Thus, it is of great importan</w:t>
      </w:r>
      <w:r>
        <w:t>ce</w:t>
      </w:r>
      <w:r w:rsidRPr="00A522B1">
        <w:t xml:space="preserve"> </w:t>
      </w:r>
      <w:r w:rsidR="002F38E5">
        <w:t>that</w:t>
      </w:r>
      <w:r w:rsidRPr="00A522B1">
        <w:t xml:space="preserve"> RAN1 address</w:t>
      </w:r>
      <w:r w:rsidR="002F38E5">
        <w:t>es</w:t>
      </w:r>
      <w:r w:rsidRPr="00A522B1">
        <w:t xml:space="preserve"> the issue of PUSCH resource fragmentation caused by PUCCH transmissions.</w:t>
      </w:r>
      <w:bookmarkEnd w:id="7"/>
    </w:p>
    <w:p w14:paraId="1971F758" w14:textId="77777777" w:rsidR="007648A8" w:rsidRDefault="007648A8" w:rsidP="007648A8">
      <w:pPr>
        <w:pStyle w:val="Observation"/>
        <w:numPr>
          <w:ilvl w:val="0"/>
          <w:numId w:val="0"/>
        </w:numPr>
        <w:ind w:left="1701"/>
      </w:pPr>
      <w:bookmarkStart w:id="8" w:name="_Toc78804038"/>
      <w:bookmarkStart w:id="9" w:name="_Toc79049341"/>
      <w:bookmarkStart w:id="10" w:name="_Toc78803451"/>
      <w:bookmarkStart w:id="11" w:name="_Toc78803636"/>
      <w:bookmarkStart w:id="12" w:name="_Toc78803670"/>
      <w:bookmarkStart w:id="13" w:name="_Toc78803811"/>
      <w:bookmarkStart w:id="14" w:name="_Toc78804040"/>
      <w:bookmarkStart w:id="15" w:name="_Toc79049343"/>
      <w:bookmarkStart w:id="16" w:name="_Toc78803637"/>
      <w:bookmarkStart w:id="17" w:name="_Toc78803671"/>
      <w:bookmarkStart w:id="18" w:name="_Toc78803812"/>
      <w:bookmarkStart w:id="19" w:name="_Toc78803638"/>
      <w:bookmarkStart w:id="20" w:name="_Toc78803672"/>
      <w:bookmarkStart w:id="21" w:name="_Toc78803813"/>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6C377341" w14:textId="73696835" w:rsidR="004949CA" w:rsidRPr="00102BA5" w:rsidRDefault="007648A8" w:rsidP="006624BA">
      <w:pPr>
        <w:pStyle w:val="Proposal"/>
      </w:pPr>
      <w:bookmarkStart w:id="22" w:name="_Toc78803669"/>
      <w:bookmarkStart w:id="23" w:name="_Toc79049346"/>
      <w:r w:rsidRPr="005806AE">
        <w:t xml:space="preserve">The introduction of RedCap support needs to allow the network to </w:t>
      </w:r>
      <w:r>
        <w:t xml:space="preserve">have an option of </w:t>
      </w:r>
      <w:r w:rsidRPr="005806AE">
        <w:t>configur</w:t>
      </w:r>
      <w:r>
        <w:t>ing</w:t>
      </w:r>
      <w:r w:rsidRPr="005806AE">
        <w:t xml:space="preserve"> the UL and DL bandwidth parts to avoid reduction in the UL peak user data rate KPI.</w:t>
      </w:r>
      <w:bookmarkEnd w:id="22"/>
      <w:bookmarkEnd w:id="23"/>
    </w:p>
    <w:p w14:paraId="1963DDAC" w14:textId="47AB30E3" w:rsidR="00F63950" w:rsidRDefault="00933894" w:rsidP="00CD5E17">
      <w:pPr>
        <w:pStyle w:val="Heading1"/>
      </w:pPr>
      <w:r>
        <w:t>5</w:t>
      </w:r>
      <w:r w:rsidR="00230D18">
        <w:tab/>
      </w:r>
      <w:r w:rsidR="00CD1B24">
        <w:t xml:space="preserve">Enhancements needed </w:t>
      </w:r>
      <w:r w:rsidR="009F28F1" w:rsidRPr="009F28F1">
        <w:t xml:space="preserve">for </w:t>
      </w:r>
      <w:r w:rsidR="00CD1B24">
        <w:t xml:space="preserve">minimizing impacts on </w:t>
      </w:r>
      <w:r w:rsidR="00CD1B24" w:rsidRPr="00CD1B24">
        <w:t>the UL peak user data rate KPI</w:t>
      </w:r>
    </w:p>
    <w:p w14:paraId="3DEEC6C8" w14:textId="54C87B05" w:rsidR="00FA4F69" w:rsidRDefault="009F28F1" w:rsidP="00CD5E17">
      <w:pPr>
        <w:pStyle w:val="BodyText"/>
      </w:pPr>
      <w:r>
        <w:t xml:space="preserve">In this section, we illustrate how the </w:t>
      </w:r>
      <w:r w:rsidR="00C052C9">
        <w:t xml:space="preserve">impact on UL peak user data rate KPI can be minimized when the support for </w:t>
      </w:r>
      <w:r w:rsidR="004949CA">
        <w:t>RedCap UEs</w:t>
      </w:r>
      <w:r w:rsidR="00C052C9">
        <w:t xml:space="preserve"> is enabled in the network</w:t>
      </w:r>
      <w:r>
        <w:t>.</w:t>
      </w:r>
      <w:r w:rsidR="00AE2BB5">
        <w:t xml:space="preserve"> The relevant aspects are already captured in the RAN1 agreements (as highlighted in Section 1) as open issues for further studies. These aspects are:</w:t>
      </w:r>
    </w:p>
    <w:p w14:paraId="2A2448E2" w14:textId="79A4BAAF" w:rsidR="00AE2BB5" w:rsidRDefault="00957F83" w:rsidP="00AE2BB5">
      <w:pPr>
        <w:pStyle w:val="BodyText"/>
        <w:numPr>
          <w:ilvl w:val="0"/>
          <w:numId w:val="31"/>
        </w:numPr>
      </w:pPr>
      <w:r w:rsidRPr="006624BA">
        <w:rPr>
          <w:b/>
          <w:bCs/>
          <w:color w:val="C00000"/>
        </w:rPr>
        <w:t>(A)</w:t>
      </w:r>
      <w:r w:rsidRPr="006624BA">
        <w:rPr>
          <w:color w:val="C00000"/>
        </w:rPr>
        <w:t xml:space="preserve"> </w:t>
      </w:r>
      <w:r w:rsidR="00AE2BB5">
        <w:t>W</w:t>
      </w:r>
      <w:r w:rsidR="00AE2BB5" w:rsidRPr="00AE2BB5">
        <w:t>hether or not to additionally support the case when the centre frequency is different</w:t>
      </w:r>
      <w:r w:rsidR="00A71595">
        <w:t xml:space="preserve"> between paired DL and UL BWPs</w:t>
      </w:r>
      <w:r w:rsidR="008E4BB7">
        <w:t xml:space="preserve"> in TDD bands</w:t>
      </w:r>
      <w:r w:rsidR="00AE2BB5" w:rsidRPr="00AE2BB5">
        <w:t>; if so, how to minimize centre frequency retuning</w:t>
      </w:r>
      <w:r w:rsidR="00CC077E">
        <w:t>.</w:t>
      </w:r>
    </w:p>
    <w:p w14:paraId="720D3AD1" w14:textId="496725FC" w:rsidR="00AE2BB5" w:rsidRDefault="00957F83" w:rsidP="00AE2BB5">
      <w:pPr>
        <w:pStyle w:val="BodyText"/>
        <w:numPr>
          <w:ilvl w:val="0"/>
          <w:numId w:val="31"/>
        </w:numPr>
      </w:pPr>
      <w:r w:rsidRPr="006624BA">
        <w:rPr>
          <w:b/>
          <w:bCs/>
          <w:color w:val="C00000"/>
        </w:rPr>
        <w:t>(B)</w:t>
      </w:r>
      <w:r w:rsidRPr="006624BA">
        <w:rPr>
          <w:color w:val="C00000"/>
        </w:rPr>
        <w:t xml:space="preserve"> </w:t>
      </w:r>
      <w:r w:rsidR="00DF1DA6">
        <w:t>When</w:t>
      </w:r>
      <w:r w:rsidR="00AE2BB5" w:rsidRPr="00AE2BB5">
        <w:t xml:space="preserve"> a separate initial DL BWP for RedCap UEs is configured/defined, </w:t>
      </w:r>
      <w:r w:rsidR="00AE2BB5">
        <w:t xml:space="preserve">whether </w:t>
      </w:r>
      <w:r w:rsidR="00AE2BB5" w:rsidRPr="00AE2BB5">
        <w:t xml:space="preserve">this separate initial DL BWP for RedCap UEs can be used </w:t>
      </w:r>
      <w:r w:rsidR="00AE2BB5">
        <w:t>during</w:t>
      </w:r>
      <w:r w:rsidR="00AE2BB5" w:rsidRPr="00AE2BB5">
        <w:t xml:space="preserve"> initial access</w:t>
      </w:r>
      <w:r w:rsidR="00AE2BB5">
        <w:t>.</w:t>
      </w:r>
    </w:p>
    <w:p w14:paraId="4A8F651A" w14:textId="511D7873" w:rsidR="00AE2BB5" w:rsidRDefault="00957F83" w:rsidP="00AE2BB5">
      <w:pPr>
        <w:pStyle w:val="BodyText"/>
        <w:numPr>
          <w:ilvl w:val="0"/>
          <w:numId w:val="31"/>
        </w:numPr>
      </w:pPr>
      <w:r w:rsidRPr="006624BA">
        <w:rPr>
          <w:b/>
          <w:bCs/>
          <w:color w:val="C00000"/>
        </w:rPr>
        <w:t>(C)</w:t>
      </w:r>
      <w:r w:rsidRPr="006624BA">
        <w:rPr>
          <w:color w:val="C00000"/>
        </w:rPr>
        <w:t xml:space="preserve"> </w:t>
      </w:r>
      <w:r w:rsidR="00AE2BB5">
        <w:t xml:space="preserve">Whether a RedCap UE should </w:t>
      </w:r>
      <w:r w:rsidR="00AE2BB5" w:rsidRPr="00AE2BB5">
        <w:t>support FG 6-1a (“BWP operation without restriction on BW of BWP(s)” as described in TR 38.822)</w:t>
      </w:r>
      <w:r w:rsidR="00AE2BB5">
        <w:t>.</w:t>
      </w:r>
    </w:p>
    <w:p w14:paraId="292E72E2" w14:textId="72A2B24C" w:rsidR="00CC077E" w:rsidRDefault="00957F83" w:rsidP="00AE2BB5">
      <w:pPr>
        <w:pStyle w:val="BodyText"/>
        <w:numPr>
          <w:ilvl w:val="0"/>
          <w:numId w:val="31"/>
        </w:numPr>
      </w:pPr>
      <w:r w:rsidRPr="006624BA">
        <w:rPr>
          <w:b/>
          <w:bCs/>
          <w:color w:val="C00000"/>
        </w:rPr>
        <w:t>(D)</w:t>
      </w:r>
      <w:r w:rsidRPr="006624BA">
        <w:rPr>
          <w:color w:val="C00000"/>
        </w:rPr>
        <w:t xml:space="preserve"> </w:t>
      </w:r>
      <w:r w:rsidR="00CC077E">
        <w:t>Whether PUCCH frequency hopping for Msg4 HARQ acknowledgement can be disabled.</w:t>
      </w:r>
    </w:p>
    <w:p w14:paraId="669EFFF3" w14:textId="0F48E6B3" w:rsidR="00A71595" w:rsidRDefault="00A71595" w:rsidP="00A71595">
      <w:pPr>
        <w:pStyle w:val="BodyText"/>
      </w:pPr>
      <w:r>
        <w:t>These aspects can be respectively mapped to potential Rel-17 features as follows.</w:t>
      </w:r>
    </w:p>
    <w:p w14:paraId="061B741C" w14:textId="065E6DB5" w:rsidR="00A71595" w:rsidRDefault="00A71595" w:rsidP="00A71595">
      <w:pPr>
        <w:pStyle w:val="BodyText"/>
        <w:numPr>
          <w:ilvl w:val="0"/>
          <w:numId w:val="31"/>
        </w:numPr>
      </w:pPr>
      <w:r w:rsidRPr="006624BA">
        <w:rPr>
          <w:b/>
          <w:bCs/>
          <w:color w:val="C00000"/>
        </w:rPr>
        <w:t>(Feature A)</w:t>
      </w:r>
      <w:r w:rsidRPr="006624BA">
        <w:rPr>
          <w:color w:val="C00000"/>
        </w:rPr>
        <w:t xml:space="preserve"> </w:t>
      </w:r>
      <w:r>
        <w:t>A</w:t>
      </w:r>
      <w:r w:rsidRPr="00AE2BB5">
        <w:t xml:space="preserve">dditionally support the case </w:t>
      </w:r>
      <w:r>
        <w:t>where</w:t>
      </w:r>
      <w:r w:rsidRPr="00AE2BB5">
        <w:t xml:space="preserve"> the centre frequency is different</w:t>
      </w:r>
      <w:r>
        <w:t xml:space="preserve"> between paired initial DL and UL BWPs</w:t>
      </w:r>
      <w:r w:rsidR="001653F1">
        <w:t xml:space="preserve"> in TDD.</w:t>
      </w:r>
    </w:p>
    <w:p w14:paraId="66421AC4" w14:textId="660ADBC0" w:rsidR="00A71595" w:rsidRDefault="00A71595" w:rsidP="00A71595">
      <w:pPr>
        <w:pStyle w:val="BodyText"/>
        <w:numPr>
          <w:ilvl w:val="0"/>
          <w:numId w:val="31"/>
        </w:numPr>
      </w:pPr>
      <w:r w:rsidRPr="006624BA">
        <w:rPr>
          <w:b/>
          <w:bCs/>
          <w:color w:val="C00000"/>
        </w:rPr>
        <w:t>(Feature B)</w:t>
      </w:r>
      <w:r w:rsidRPr="006624BA">
        <w:rPr>
          <w:color w:val="C00000"/>
        </w:rPr>
        <w:t xml:space="preserve"> </w:t>
      </w:r>
      <w:r w:rsidR="00281033">
        <w:t>When</w:t>
      </w:r>
      <w:r w:rsidRPr="00AE2BB5">
        <w:t xml:space="preserve"> a separate initial DL BWP for RedCap UEs is configured/defined, this separate initial DL BWP for RedCap UEs can be used </w:t>
      </w:r>
      <w:r>
        <w:t>during</w:t>
      </w:r>
      <w:r w:rsidRPr="00AE2BB5">
        <w:t xml:space="preserve"> initial access</w:t>
      </w:r>
      <w:r>
        <w:t>.</w:t>
      </w:r>
    </w:p>
    <w:p w14:paraId="1109C96E" w14:textId="0603D8A5" w:rsidR="00A71595" w:rsidRDefault="00A71595" w:rsidP="00A71595">
      <w:pPr>
        <w:pStyle w:val="BodyText"/>
        <w:numPr>
          <w:ilvl w:val="0"/>
          <w:numId w:val="31"/>
        </w:numPr>
      </w:pPr>
      <w:r w:rsidRPr="006624BA">
        <w:rPr>
          <w:b/>
          <w:bCs/>
          <w:color w:val="C00000"/>
        </w:rPr>
        <w:t>(Feature C)</w:t>
      </w:r>
      <w:r w:rsidRPr="006624BA">
        <w:rPr>
          <w:color w:val="C00000"/>
        </w:rPr>
        <w:t xml:space="preserve"> </w:t>
      </w:r>
      <w:r>
        <w:t xml:space="preserve">A RedCap UE should </w:t>
      </w:r>
      <w:r w:rsidRPr="00AE2BB5">
        <w:t>support FG 6-1a (“BWP operation without restriction on BW of BWP(s)” as described in TR 38.822)</w:t>
      </w:r>
      <w:r>
        <w:t>.</w:t>
      </w:r>
    </w:p>
    <w:p w14:paraId="5B517D2F" w14:textId="08EF7871" w:rsidR="00A71595" w:rsidRDefault="00A71595" w:rsidP="00A71595">
      <w:pPr>
        <w:pStyle w:val="BodyText"/>
        <w:numPr>
          <w:ilvl w:val="0"/>
          <w:numId w:val="31"/>
        </w:numPr>
      </w:pPr>
      <w:r w:rsidRPr="006624BA">
        <w:rPr>
          <w:b/>
          <w:bCs/>
          <w:color w:val="C00000"/>
        </w:rPr>
        <w:t>(Feature D)</w:t>
      </w:r>
      <w:r w:rsidRPr="006624BA">
        <w:rPr>
          <w:color w:val="C00000"/>
        </w:rPr>
        <w:t xml:space="preserve"> </w:t>
      </w:r>
      <w:r>
        <w:t>PUCCH frequency hopping for Msg4 HARQ acknowledgement can be disabled.</w:t>
      </w:r>
    </w:p>
    <w:p w14:paraId="19E32B70" w14:textId="7A1F4D32" w:rsidR="00BA0BBF" w:rsidRDefault="00957F83" w:rsidP="00957F83">
      <w:pPr>
        <w:pStyle w:val="BodyText"/>
        <w:rPr>
          <w:lang w:eastAsia="en-GB"/>
        </w:rPr>
      </w:pPr>
      <w:r>
        <w:t xml:space="preserve">When the </w:t>
      </w:r>
      <w:r w:rsidR="00A71595">
        <w:t>F</w:t>
      </w:r>
      <w:r>
        <w:t xml:space="preserve">eatures A, C, and D above are supported, PUSCH resource fragmentation can be avoided, and in that case introducing RedCap support in the cell will not result in any degradation in the </w:t>
      </w:r>
      <w:r w:rsidRPr="00957F83">
        <w:t>UL peak user data rate KPI</w:t>
      </w:r>
      <w:r>
        <w:t xml:space="preserve">. This is illustrated in </w:t>
      </w:r>
      <w:r>
        <w:fldChar w:fldCharType="begin"/>
      </w:r>
      <w:r>
        <w:instrText xml:space="preserve"> REF _Ref70601595 \h </w:instrText>
      </w:r>
      <w:r>
        <w:fldChar w:fldCharType="separate"/>
      </w:r>
      <w:r w:rsidR="00A96488">
        <w:t xml:space="preserve">Figure </w:t>
      </w:r>
      <w:r w:rsidR="00A96488">
        <w:rPr>
          <w:noProof/>
        </w:rPr>
        <w:t>4</w:t>
      </w:r>
      <w:r>
        <w:fldChar w:fldCharType="end"/>
      </w:r>
      <w:r>
        <w:t xml:space="preserve">. </w:t>
      </w:r>
      <w:r w:rsidR="005F4C93">
        <w:rPr>
          <w:lang w:eastAsia="en-GB"/>
        </w:rPr>
        <w:t>First, a separate initial UL BWP is configure</w:t>
      </w:r>
      <w:r w:rsidR="007E3F78">
        <w:rPr>
          <w:lang w:eastAsia="en-GB"/>
        </w:rPr>
        <w:t>d</w:t>
      </w:r>
      <w:r w:rsidR="005F4C93">
        <w:rPr>
          <w:lang w:eastAsia="en-GB"/>
        </w:rPr>
        <w:t xml:space="preserve"> for RedCap UEs</w:t>
      </w:r>
      <w:r>
        <w:rPr>
          <w:lang w:eastAsia="en-GB"/>
        </w:rPr>
        <w:t xml:space="preserve"> and can be flexibly placed at the cell edge</w:t>
      </w:r>
      <w:r w:rsidR="005F4C93">
        <w:rPr>
          <w:lang w:eastAsia="en-GB"/>
        </w:rPr>
        <w:t>.</w:t>
      </w:r>
      <w:r w:rsidR="00BA0BBF">
        <w:rPr>
          <w:lang w:eastAsia="en-GB"/>
        </w:rPr>
        <w:t xml:space="preserve"> This results in different center frequencies between the initial DL and UL BWPs (</w:t>
      </w:r>
      <w:r w:rsidR="00A71595">
        <w:rPr>
          <w:b/>
          <w:bCs/>
          <w:lang w:eastAsia="en-GB"/>
        </w:rPr>
        <w:t>F</w:t>
      </w:r>
      <w:r w:rsidR="00BA0BBF" w:rsidRPr="00BA0BBF">
        <w:rPr>
          <w:b/>
          <w:bCs/>
          <w:lang w:eastAsia="en-GB"/>
        </w:rPr>
        <w:t>eature A</w:t>
      </w:r>
      <w:r w:rsidR="00BA0BBF">
        <w:rPr>
          <w:lang w:eastAsia="en-GB"/>
        </w:rPr>
        <w:t>). I</w:t>
      </w:r>
      <w:r w:rsidR="00806953">
        <w:rPr>
          <w:lang w:eastAsia="en-GB"/>
        </w:rPr>
        <w:t>n</w:t>
      </w:r>
      <w:r w:rsidR="00BA0BBF">
        <w:rPr>
          <w:lang w:eastAsia="en-GB"/>
        </w:rPr>
        <w:t xml:space="preserve"> our view, the </w:t>
      </w:r>
      <w:r w:rsidR="00BA0BBF" w:rsidRPr="00BA0BBF">
        <w:rPr>
          <w:lang w:eastAsia="en-GB"/>
        </w:rPr>
        <w:t>required switching time between DL and UL is very relaxed during initial access</w:t>
      </w:r>
      <w:r w:rsidR="00BA0BBF">
        <w:rPr>
          <w:lang w:eastAsia="en-GB"/>
        </w:rPr>
        <w:t>. Thus,</w:t>
      </w:r>
      <w:r w:rsidR="00BA0BBF" w:rsidRPr="00BA0BBF">
        <w:rPr>
          <w:lang w:eastAsia="en-GB"/>
        </w:rPr>
        <w:t xml:space="preserve"> frequency retuning between DL and UL center frequencies is not expected to be an issue as far as the UE implementation is concerned. Furthermore, frequency retuning between DL and UL center frequencies is anyway needed for half-duplex FDD UEs. It is expected that the same </w:t>
      </w:r>
      <w:r w:rsidR="00BA0BBF">
        <w:rPr>
          <w:lang w:eastAsia="en-GB"/>
        </w:rPr>
        <w:t xml:space="preserve">RedCap </w:t>
      </w:r>
      <w:r w:rsidR="00BA0BBF" w:rsidRPr="00BA0BBF">
        <w:rPr>
          <w:lang w:eastAsia="en-GB"/>
        </w:rPr>
        <w:t xml:space="preserve">UE </w:t>
      </w:r>
      <w:r w:rsidR="00E8687C">
        <w:rPr>
          <w:lang w:eastAsia="en-GB"/>
        </w:rPr>
        <w:t>may</w:t>
      </w:r>
      <w:r w:rsidR="00BA0BBF" w:rsidRPr="00BA0BBF">
        <w:rPr>
          <w:lang w:eastAsia="en-GB"/>
        </w:rPr>
        <w:t xml:space="preserve"> support operation in both FDD and TDD bands.</w:t>
      </w:r>
      <w:r w:rsidR="00BA0BBF">
        <w:rPr>
          <w:lang w:eastAsia="en-GB"/>
        </w:rPr>
        <w:t xml:space="preserve"> Therefore, the same RedCap UE would have the capability of </w:t>
      </w:r>
      <w:r w:rsidR="00BA0BBF" w:rsidRPr="00BA0BBF">
        <w:rPr>
          <w:lang w:eastAsia="en-GB"/>
        </w:rPr>
        <w:t>frequency retuning between DL and UL center frequencies</w:t>
      </w:r>
      <w:r w:rsidR="00BA0BBF">
        <w:rPr>
          <w:lang w:eastAsia="en-GB"/>
        </w:rPr>
        <w:t xml:space="preserve">, regardless whether it is </w:t>
      </w:r>
      <w:r w:rsidR="006874C8">
        <w:rPr>
          <w:lang w:eastAsia="en-GB"/>
        </w:rPr>
        <w:t>a</w:t>
      </w:r>
      <w:r w:rsidR="00A711F0">
        <w:rPr>
          <w:lang w:eastAsia="en-GB"/>
        </w:rPr>
        <w:t>n</w:t>
      </w:r>
      <w:r w:rsidR="006874C8">
        <w:rPr>
          <w:lang w:eastAsia="en-GB"/>
        </w:rPr>
        <w:t xml:space="preserve"> </w:t>
      </w:r>
      <w:r w:rsidR="00BA0BBF">
        <w:rPr>
          <w:lang w:eastAsia="en-GB"/>
        </w:rPr>
        <w:t xml:space="preserve">HD-FDD or TDD operation. We conclude that </w:t>
      </w:r>
      <w:r w:rsidR="00BA0BBF" w:rsidRPr="00BA0BBF">
        <w:rPr>
          <w:lang w:eastAsia="en-GB"/>
        </w:rPr>
        <w:t xml:space="preserve">frequency retuning between DL and UL center frequencies </w:t>
      </w:r>
      <w:r w:rsidR="005B44C8">
        <w:rPr>
          <w:lang w:eastAsia="en-GB"/>
        </w:rPr>
        <w:t xml:space="preserve">during initial access </w:t>
      </w:r>
      <w:r w:rsidR="00BA0BBF" w:rsidRPr="00BA0BBF">
        <w:rPr>
          <w:lang w:eastAsia="en-GB"/>
        </w:rPr>
        <w:t xml:space="preserve">within a TDD band is not expected to impose </w:t>
      </w:r>
      <w:r w:rsidR="00A711F0">
        <w:rPr>
          <w:lang w:eastAsia="en-GB"/>
        </w:rPr>
        <w:t>new</w:t>
      </w:r>
      <w:r w:rsidR="00A711F0" w:rsidRPr="00BA0BBF">
        <w:rPr>
          <w:lang w:eastAsia="en-GB"/>
        </w:rPr>
        <w:t xml:space="preserve"> </w:t>
      </w:r>
      <w:r w:rsidR="00BA0BBF" w:rsidRPr="00BA0BBF">
        <w:rPr>
          <w:lang w:eastAsia="en-GB"/>
        </w:rPr>
        <w:t>challenges from the UE implementation point of view</w:t>
      </w:r>
      <w:r w:rsidR="00BA0BBF">
        <w:rPr>
          <w:lang w:eastAsia="en-GB"/>
        </w:rPr>
        <w:t>.</w:t>
      </w:r>
      <w:r w:rsidR="00BA0BBF" w:rsidRPr="00BA0BBF">
        <w:rPr>
          <w:lang w:eastAsia="en-GB"/>
        </w:rPr>
        <w:t xml:space="preserve"> </w:t>
      </w:r>
    </w:p>
    <w:p w14:paraId="4BB56268" w14:textId="1DE17426" w:rsidR="00957F83" w:rsidRDefault="00957F83" w:rsidP="00957F83">
      <w:pPr>
        <w:pStyle w:val="BodyText"/>
      </w:pPr>
      <w:r>
        <w:rPr>
          <w:lang w:eastAsia="en-GB"/>
        </w:rPr>
        <w:t>Then</w:t>
      </w:r>
      <w:r w:rsidR="00BA0BBF">
        <w:rPr>
          <w:lang w:eastAsia="en-GB"/>
        </w:rPr>
        <w:t xml:space="preserve"> according to </w:t>
      </w:r>
      <w:r w:rsidR="00BA0BBF">
        <w:rPr>
          <w:lang w:eastAsia="en-GB"/>
        </w:rPr>
        <w:fldChar w:fldCharType="begin"/>
      </w:r>
      <w:r w:rsidR="00BA0BBF">
        <w:rPr>
          <w:lang w:eastAsia="en-GB"/>
        </w:rPr>
        <w:instrText xml:space="preserve"> REF _Ref70601595 \h </w:instrText>
      </w:r>
      <w:r w:rsidR="00BA0BBF">
        <w:rPr>
          <w:lang w:eastAsia="en-GB"/>
        </w:rPr>
      </w:r>
      <w:r w:rsidR="00BA0BBF">
        <w:rPr>
          <w:lang w:eastAsia="en-GB"/>
        </w:rPr>
        <w:fldChar w:fldCharType="separate"/>
      </w:r>
      <w:r w:rsidR="00A96488">
        <w:t xml:space="preserve">Figure </w:t>
      </w:r>
      <w:r w:rsidR="00A96488">
        <w:rPr>
          <w:noProof/>
        </w:rPr>
        <w:t>4</w:t>
      </w:r>
      <w:r w:rsidR="00BA0BBF">
        <w:rPr>
          <w:lang w:eastAsia="en-GB"/>
        </w:rPr>
        <w:fldChar w:fldCharType="end"/>
      </w:r>
      <w:r>
        <w:rPr>
          <w:lang w:eastAsia="en-GB"/>
        </w:rPr>
        <w:t xml:space="preserve">, </w:t>
      </w:r>
      <w:r w:rsidR="00500E93" w:rsidRPr="00500E93">
        <w:rPr>
          <w:lang w:eastAsia="en-GB"/>
        </w:rPr>
        <w:t xml:space="preserve">PUCCH frequency hopping </w:t>
      </w:r>
      <w:r>
        <w:rPr>
          <w:lang w:eastAsia="en-GB"/>
        </w:rPr>
        <w:t>is</w:t>
      </w:r>
      <w:r w:rsidR="00500E93" w:rsidRPr="00500E93">
        <w:rPr>
          <w:lang w:eastAsia="en-GB"/>
        </w:rPr>
        <w:t xml:space="preserve"> disabled for RedCap UE</w:t>
      </w:r>
      <w:r>
        <w:rPr>
          <w:lang w:eastAsia="en-GB"/>
        </w:rPr>
        <w:t xml:space="preserve"> in the initial UL BWP</w:t>
      </w:r>
      <w:r w:rsidR="00500E93" w:rsidRPr="00500E93">
        <w:rPr>
          <w:lang w:eastAsia="en-GB"/>
        </w:rPr>
        <w:t xml:space="preserve"> during initial access</w:t>
      </w:r>
      <w:r w:rsidR="00BA0BBF">
        <w:rPr>
          <w:lang w:eastAsia="en-GB"/>
        </w:rPr>
        <w:t xml:space="preserve"> (</w:t>
      </w:r>
      <w:r w:rsidR="00A71595">
        <w:rPr>
          <w:b/>
          <w:bCs/>
          <w:lang w:eastAsia="en-GB"/>
        </w:rPr>
        <w:t>F</w:t>
      </w:r>
      <w:r w:rsidR="00BA0BBF" w:rsidRPr="00BA0BBF">
        <w:rPr>
          <w:b/>
          <w:bCs/>
          <w:lang w:eastAsia="en-GB"/>
        </w:rPr>
        <w:t>eature D</w:t>
      </w:r>
      <w:r w:rsidR="00BA0BBF">
        <w:rPr>
          <w:lang w:eastAsia="en-GB"/>
        </w:rPr>
        <w:t>)</w:t>
      </w:r>
      <w:r w:rsidR="00500E93">
        <w:rPr>
          <w:lang w:eastAsia="en-GB"/>
        </w:rPr>
        <w:t>.</w:t>
      </w:r>
      <w:r w:rsidR="00BA0BBF">
        <w:rPr>
          <w:lang w:eastAsia="en-GB"/>
        </w:rPr>
        <w:t xml:space="preserve"> Additionally, non-initial BWPs need to be configured for RedCap UEs. In our view, there might be more incentives </w:t>
      </w:r>
      <w:r w:rsidR="0078138F">
        <w:rPr>
          <w:lang w:eastAsia="en-GB"/>
        </w:rPr>
        <w:t xml:space="preserve">to align the center frequencies between non-initial DL and UL BWPs, as switching between DL and UL occurs more frequently and it might be also advantageous to avoid an extended gap between DL and UL transmissions during </w:t>
      </w:r>
      <w:r w:rsidR="0078138F" w:rsidRPr="009B1C66">
        <w:t>RRC_CONNECTED</w:t>
      </w:r>
      <w:r w:rsidR="0078138F">
        <w:t>. However, to avoid PUCCH transmissions in the non-initial UL BWP to cause PUSCH resource fragmentation, the UL BWP needs to be placed at the carrier edge</w:t>
      </w:r>
      <w:r w:rsidR="00A71595">
        <w:t>.</w:t>
      </w:r>
      <w:r w:rsidR="0078138F">
        <w:t xml:space="preserve"> </w:t>
      </w:r>
      <w:r w:rsidR="00A71595">
        <w:t>Then</w:t>
      </w:r>
      <w:r w:rsidR="0078138F">
        <w:t xml:space="preserve"> as a result of center frequency alignment, the non-initial DL BWP would also need to be placed at the carrier edge. To facilitate the possibility of placing a non-initial DL BWP for RedCap UEs at the carrier edge, it would require a RedCap UE to support </w:t>
      </w:r>
      <w:r w:rsidR="0078138F" w:rsidRPr="0078138F">
        <w:t>FG 6-1a</w:t>
      </w:r>
      <w:r w:rsidR="0078138F">
        <w:t xml:space="preserve"> (</w:t>
      </w:r>
      <w:r w:rsidR="00A71595">
        <w:rPr>
          <w:b/>
          <w:bCs/>
        </w:rPr>
        <w:t>F</w:t>
      </w:r>
      <w:r w:rsidR="0078138F" w:rsidRPr="0078138F">
        <w:rPr>
          <w:b/>
          <w:bCs/>
        </w:rPr>
        <w:t>eature C</w:t>
      </w:r>
      <w:r w:rsidR="0078138F">
        <w:t>).</w:t>
      </w:r>
      <w:r w:rsidR="00A711F0">
        <w:t xml:space="preserve"> </w:t>
      </w:r>
      <w:r w:rsidR="00A711F0" w:rsidRPr="00A711F0">
        <w:t xml:space="preserve">For example, if the DL BWP is placed at the </w:t>
      </w:r>
      <w:r w:rsidR="00A711F0">
        <w:t xml:space="preserve">carrier </w:t>
      </w:r>
      <w:r w:rsidR="00A711F0" w:rsidRPr="00A711F0">
        <w:t>edge</w:t>
      </w:r>
      <w:r w:rsidR="00A711F0">
        <w:t xml:space="preserve">, </w:t>
      </w:r>
      <w:r w:rsidR="00A711F0" w:rsidRPr="00A711F0">
        <w:t>it may not necessarily contain both SSB and CORESET #0.</w:t>
      </w:r>
    </w:p>
    <w:p w14:paraId="7511A556" w14:textId="4BD47DAF" w:rsidR="00BB7168" w:rsidRDefault="00BB7168" w:rsidP="00BB7168">
      <w:pPr>
        <w:pStyle w:val="Observation"/>
      </w:pPr>
      <w:bookmarkStart w:id="24" w:name="_Toc79049338"/>
      <w:r>
        <w:t>C</w:t>
      </w:r>
      <w:r w:rsidRPr="00BB7168">
        <w:t xml:space="preserve">onsidering </w:t>
      </w:r>
      <w:r w:rsidR="00DD5551">
        <w:t xml:space="preserve">that </w:t>
      </w:r>
      <w:r w:rsidRPr="00BB7168">
        <w:t xml:space="preserve">the </w:t>
      </w:r>
      <w:r w:rsidR="007C28F3">
        <w:t>required</w:t>
      </w:r>
      <w:r w:rsidRPr="00BB7168">
        <w:t xml:space="preserve"> switching time between DL and UL is very relaxed during initial access, frequency retuning between DL and UL center frequencies </w:t>
      </w:r>
      <w:r>
        <w:t xml:space="preserve">during initial access </w:t>
      </w:r>
      <w:r w:rsidRPr="00BB7168">
        <w:t xml:space="preserve">is not expected to be an issue as far as </w:t>
      </w:r>
      <w:r w:rsidR="003B2E74">
        <w:t xml:space="preserve">the </w:t>
      </w:r>
      <w:r w:rsidRPr="00BB7168">
        <w:t>UE implementation is concerned.</w:t>
      </w:r>
      <w:bookmarkEnd w:id="24"/>
    </w:p>
    <w:p w14:paraId="31E68E19" w14:textId="0AECD5C5" w:rsidR="0078138F" w:rsidRDefault="0078138F" w:rsidP="00BB7168">
      <w:pPr>
        <w:pStyle w:val="Observation"/>
      </w:pPr>
      <w:bookmarkStart w:id="25" w:name="_Toc79049339"/>
      <w:r w:rsidRPr="0078138F">
        <w:t>It is expected that the same RedCap UE would support operation in both FDD and TDD bands. Therefore, the same RedCap UE would have the capability of frequency retuning between DL and UL center frequencies, regardless whether it is</w:t>
      </w:r>
      <w:r w:rsidR="00BE5242">
        <w:t xml:space="preserve"> a</w:t>
      </w:r>
      <w:r w:rsidRPr="0078138F">
        <w:t xml:space="preserve"> HD-FDD or TDD operation.</w:t>
      </w:r>
      <w:bookmarkEnd w:id="25"/>
    </w:p>
    <w:p w14:paraId="271060DA" w14:textId="1BEF7020" w:rsidR="00BB7168" w:rsidRDefault="00BB7168" w:rsidP="00BB7168">
      <w:pPr>
        <w:pStyle w:val="Observation"/>
      </w:pPr>
      <w:bookmarkStart w:id="26" w:name="_Toc79049340"/>
      <w:r>
        <w:t>F</w:t>
      </w:r>
      <w:r w:rsidRPr="00BB7168">
        <w:t>requency retuning between DL and UL center frequencies</w:t>
      </w:r>
      <w:r w:rsidR="00787B19">
        <w:t xml:space="preserve"> during initial access</w:t>
      </w:r>
      <w:r w:rsidRPr="00BB7168">
        <w:t xml:space="preserve"> within a TDD band is not expected to impose more challenges from the UE implementation point of view </w:t>
      </w:r>
      <w:r w:rsidR="00E17C24">
        <w:t>than in the</w:t>
      </w:r>
      <w:r w:rsidRPr="00BB7168">
        <w:t xml:space="preserve"> half-duplex FDD </w:t>
      </w:r>
      <w:r w:rsidR="00E17C24">
        <w:t>case</w:t>
      </w:r>
      <w:r w:rsidRPr="00BB7168">
        <w:t>.</w:t>
      </w:r>
      <w:bookmarkEnd w:id="26"/>
    </w:p>
    <w:p w14:paraId="75EF7FCD" w14:textId="77777777" w:rsidR="00500E93" w:rsidRDefault="00500E93" w:rsidP="00FA4F69">
      <w:pPr>
        <w:rPr>
          <w:lang w:eastAsia="en-GB"/>
        </w:rPr>
      </w:pPr>
    </w:p>
    <w:p w14:paraId="794AA53E" w14:textId="005590E5" w:rsidR="00FA4F69" w:rsidRDefault="00014A95" w:rsidP="00500E93">
      <w:pPr>
        <w:jc w:val="center"/>
        <w:rPr>
          <w:lang w:eastAsia="en-GB"/>
        </w:rPr>
      </w:pPr>
      <w:r>
        <w:rPr>
          <w:noProof/>
          <w:lang w:eastAsia="en-GB"/>
        </w:rPr>
        <w:drawing>
          <wp:inline distT="0" distB="0" distL="0" distR="0" wp14:anchorId="6D374C0B" wp14:editId="2CD902F7">
            <wp:extent cx="6437012" cy="5532937"/>
            <wp:effectExtent l="0" t="0" r="190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439958" cy="5535469"/>
                    </a:xfrm>
                    <a:prstGeom prst="rect">
                      <a:avLst/>
                    </a:prstGeom>
                    <a:noFill/>
                  </pic:spPr>
                </pic:pic>
              </a:graphicData>
            </a:graphic>
          </wp:inline>
        </w:drawing>
      </w:r>
    </w:p>
    <w:p w14:paraId="65FD06D2" w14:textId="5D90CEB3" w:rsidR="00500E93" w:rsidRDefault="00500E93" w:rsidP="00500E93">
      <w:pPr>
        <w:pStyle w:val="Caption"/>
        <w:jc w:val="center"/>
      </w:pPr>
      <w:bookmarkStart w:id="27" w:name="_Ref70601595"/>
      <w:r>
        <w:t xml:space="preserve">Figure </w:t>
      </w:r>
      <w:r>
        <w:fldChar w:fldCharType="begin"/>
      </w:r>
      <w:r>
        <w:instrText xml:space="preserve"> SEQ Figure \* ARABIC </w:instrText>
      </w:r>
      <w:r>
        <w:fldChar w:fldCharType="separate"/>
      </w:r>
      <w:r w:rsidR="00A96488">
        <w:rPr>
          <w:noProof/>
        </w:rPr>
        <w:t>4</w:t>
      </w:r>
      <w:r>
        <w:fldChar w:fldCharType="end"/>
      </w:r>
      <w:bookmarkEnd w:id="27"/>
      <w:r>
        <w:t xml:space="preserve">: An example solution for avoiding </w:t>
      </w:r>
      <w:r w:rsidR="0078138F">
        <w:t>any reduction in UL peak data rate KPI</w:t>
      </w:r>
      <w:r>
        <w:t>. This is achiev</w:t>
      </w:r>
      <w:r w:rsidR="008E4BB7">
        <w:t>ed</w:t>
      </w:r>
      <w:r w:rsidR="00893E13">
        <w:t xml:space="preserve"> </w:t>
      </w:r>
      <w:r>
        <w:t>by allowing different center frequencies in the initial DL and UL BWPs</w:t>
      </w:r>
      <w:r w:rsidR="00E03B8E">
        <w:t xml:space="preserve"> within a TDD carrier</w:t>
      </w:r>
      <w:r w:rsidR="001C3E11">
        <w:t xml:space="preserve"> (Feature A)</w:t>
      </w:r>
      <w:r w:rsidR="0078138F">
        <w:t>,</w:t>
      </w:r>
      <w:r>
        <w:t xml:space="preserve"> allowing the PUCCH frequency hopping to be disabled for RedCap UE during initial access</w:t>
      </w:r>
      <w:r w:rsidR="001C3E11">
        <w:t xml:space="preserve"> (Feature D)</w:t>
      </w:r>
      <w:r w:rsidR="0078138F">
        <w:t>, and requiring RedCap UEs to support FG 6-1a</w:t>
      </w:r>
      <w:r w:rsidR="001C3E11">
        <w:t xml:space="preserve"> (Feature C)</w:t>
      </w:r>
      <w:r>
        <w:t>.</w:t>
      </w:r>
    </w:p>
    <w:p w14:paraId="33230652" w14:textId="6CA4CF1C" w:rsidR="00FA4F69" w:rsidRDefault="00FA4F69" w:rsidP="00500E93">
      <w:pPr>
        <w:pStyle w:val="Caption"/>
      </w:pPr>
    </w:p>
    <w:p w14:paraId="3920932B" w14:textId="7616A92A" w:rsidR="003E66B2" w:rsidRPr="003E66B2" w:rsidRDefault="003E66B2" w:rsidP="00D74B59">
      <w:pPr>
        <w:jc w:val="both"/>
        <w:rPr>
          <w:lang w:eastAsia="en-GB"/>
        </w:rPr>
      </w:pPr>
      <w:r>
        <w:rPr>
          <w:lang w:eastAsia="en-GB"/>
        </w:rPr>
        <w:t xml:space="preserve">Another possible solution is illustrated in </w:t>
      </w:r>
      <w:r>
        <w:rPr>
          <w:lang w:eastAsia="en-GB"/>
        </w:rPr>
        <w:fldChar w:fldCharType="begin"/>
      </w:r>
      <w:r>
        <w:rPr>
          <w:lang w:eastAsia="en-GB"/>
        </w:rPr>
        <w:instrText xml:space="preserve"> REF _Ref70602265 \h </w:instrText>
      </w:r>
      <w:r w:rsidR="00E94AA0">
        <w:rPr>
          <w:lang w:eastAsia="en-GB"/>
        </w:rPr>
        <w:instrText xml:space="preserve"> \* MERGEFORMAT </w:instrText>
      </w:r>
      <w:r>
        <w:rPr>
          <w:lang w:eastAsia="en-GB"/>
        </w:rPr>
      </w:r>
      <w:r>
        <w:rPr>
          <w:lang w:eastAsia="en-GB"/>
        </w:rPr>
        <w:fldChar w:fldCharType="separate"/>
      </w:r>
      <w:r w:rsidR="00A96488">
        <w:t xml:space="preserve">Figure </w:t>
      </w:r>
      <w:r w:rsidR="00A96488">
        <w:rPr>
          <w:noProof/>
        </w:rPr>
        <w:t>5</w:t>
      </w:r>
      <w:r>
        <w:rPr>
          <w:lang w:eastAsia="en-GB"/>
        </w:rPr>
        <w:fldChar w:fldCharType="end"/>
      </w:r>
      <w:r>
        <w:rPr>
          <w:lang w:eastAsia="en-GB"/>
        </w:rPr>
        <w:t xml:space="preserve">. </w:t>
      </w:r>
      <w:r w:rsidR="00D91948">
        <w:rPr>
          <w:lang w:eastAsia="en-GB"/>
        </w:rPr>
        <w:t>Unlike</w:t>
      </w:r>
      <w:r>
        <w:rPr>
          <w:lang w:eastAsia="en-GB"/>
        </w:rPr>
        <w:t xml:space="preserve"> the solution illustrated in </w:t>
      </w:r>
      <w:r>
        <w:rPr>
          <w:lang w:eastAsia="en-GB"/>
        </w:rPr>
        <w:fldChar w:fldCharType="begin"/>
      </w:r>
      <w:r>
        <w:rPr>
          <w:lang w:eastAsia="en-GB"/>
        </w:rPr>
        <w:instrText xml:space="preserve"> REF _Ref70601595 \h </w:instrText>
      </w:r>
      <w:r w:rsidR="00E94AA0">
        <w:rPr>
          <w:lang w:eastAsia="en-GB"/>
        </w:rPr>
        <w:instrText xml:space="preserve"> \* MERGEFORMAT </w:instrText>
      </w:r>
      <w:r>
        <w:rPr>
          <w:lang w:eastAsia="en-GB"/>
        </w:rPr>
      </w:r>
      <w:r>
        <w:rPr>
          <w:lang w:eastAsia="en-GB"/>
        </w:rPr>
        <w:fldChar w:fldCharType="separate"/>
      </w:r>
      <w:r w:rsidR="00A96488">
        <w:t xml:space="preserve">Figure </w:t>
      </w:r>
      <w:r w:rsidR="00A96488">
        <w:rPr>
          <w:noProof/>
        </w:rPr>
        <w:t>4</w:t>
      </w:r>
      <w:r>
        <w:rPr>
          <w:lang w:eastAsia="en-GB"/>
        </w:rPr>
        <w:fldChar w:fldCharType="end"/>
      </w:r>
      <w:r>
        <w:rPr>
          <w:lang w:eastAsia="en-GB"/>
        </w:rPr>
        <w:t xml:space="preserve">, this solution maintains the same center frequency of the initial DL and UL BWPs, but </w:t>
      </w:r>
      <w:r w:rsidR="00A271CD">
        <w:rPr>
          <w:lang w:eastAsia="en-GB"/>
        </w:rPr>
        <w:t xml:space="preserve">it </w:t>
      </w:r>
      <w:r>
        <w:rPr>
          <w:lang w:eastAsia="en-GB"/>
        </w:rPr>
        <w:t>requires a separate initial DL BWP to be configured for RedCap UEs</w:t>
      </w:r>
      <w:r w:rsidR="001F4741">
        <w:rPr>
          <w:lang w:eastAsia="en-GB"/>
        </w:rPr>
        <w:t xml:space="preserve"> (</w:t>
      </w:r>
      <w:r w:rsidR="00B027A3">
        <w:rPr>
          <w:b/>
          <w:bCs/>
          <w:lang w:eastAsia="en-GB"/>
        </w:rPr>
        <w:t>F</w:t>
      </w:r>
      <w:r w:rsidR="001F4741" w:rsidRPr="00E57ABB">
        <w:rPr>
          <w:b/>
          <w:bCs/>
          <w:lang w:eastAsia="en-GB"/>
        </w:rPr>
        <w:t>eature B</w:t>
      </w:r>
      <w:r w:rsidR="001F4741">
        <w:rPr>
          <w:lang w:eastAsia="en-GB"/>
        </w:rPr>
        <w:t>)</w:t>
      </w:r>
      <w:r>
        <w:rPr>
          <w:lang w:eastAsia="en-GB"/>
        </w:rPr>
        <w:t>.</w:t>
      </w:r>
      <w:r w:rsidR="008E4BB7" w:rsidRPr="008E4BB7">
        <w:t xml:space="preserve"> </w:t>
      </w:r>
      <w:r w:rsidR="008E4BB7" w:rsidRPr="008E4BB7">
        <w:rPr>
          <w:lang w:eastAsia="en-GB"/>
        </w:rPr>
        <w:t xml:space="preserve">For RedCap UEs, the </w:t>
      </w:r>
      <w:r w:rsidR="008E4BB7" w:rsidRPr="006624BA">
        <w:rPr>
          <w:i/>
          <w:iCs/>
          <w:lang w:eastAsia="en-GB"/>
        </w:rPr>
        <w:t>locationAndBandwidth</w:t>
      </w:r>
      <w:r w:rsidR="008E4BB7" w:rsidRPr="008E4BB7">
        <w:rPr>
          <w:lang w:eastAsia="en-GB"/>
        </w:rPr>
        <w:t xml:space="preserve"> of the separate (SIB-configured) initial DL BWP should be available to use during initial access, unlike for legacy UEs where the </w:t>
      </w:r>
      <w:r w:rsidR="008E4BB7" w:rsidRPr="006624BA">
        <w:rPr>
          <w:i/>
          <w:iCs/>
          <w:lang w:eastAsia="en-GB"/>
        </w:rPr>
        <w:t>locationAndBandwidth</w:t>
      </w:r>
      <w:r w:rsidR="008E4BB7" w:rsidRPr="008E4BB7">
        <w:rPr>
          <w:lang w:eastAsia="en-GB"/>
        </w:rPr>
        <w:t xml:space="preserve"> of the SIB-configured initial DL BWP is used only after initial access.</w:t>
      </w:r>
      <w:r>
        <w:rPr>
          <w:lang w:eastAsia="en-GB"/>
        </w:rPr>
        <w:t xml:space="preserve"> Like the previous solution, to avoid PUSCH resource fragmentation, the network need</w:t>
      </w:r>
      <w:r w:rsidR="00766A04">
        <w:rPr>
          <w:lang w:eastAsia="en-GB"/>
        </w:rPr>
        <w:t>s</w:t>
      </w:r>
      <w:r>
        <w:rPr>
          <w:lang w:eastAsia="en-GB"/>
        </w:rPr>
        <w:t xml:space="preserve"> to be able to disable PUCCH </w:t>
      </w:r>
      <w:r w:rsidRPr="003E66B2">
        <w:rPr>
          <w:lang w:eastAsia="en-GB"/>
        </w:rPr>
        <w:t>frequency hopping for RedCap UE during initial access</w:t>
      </w:r>
      <w:r w:rsidR="00E57ABB">
        <w:rPr>
          <w:lang w:eastAsia="en-GB"/>
        </w:rPr>
        <w:t xml:space="preserve"> (</w:t>
      </w:r>
      <w:r w:rsidR="00B027A3">
        <w:rPr>
          <w:b/>
          <w:bCs/>
          <w:lang w:eastAsia="en-GB"/>
        </w:rPr>
        <w:t>F</w:t>
      </w:r>
      <w:r w:rsidR="00E57ABB" w:rsidRPr="00E57ABB">
        <w:rPr>
          <w:b/>
          <w:bCs/>
          <w:lang w:eastAsia="en-GB"/>
        </w:rPr>
        <w:t xml:space="preserve">eature </w:t>
      </w:r>
      <w:r w:rsidR="00E57ABB">
        <w:rPr>
          <w:b/>
          <w:bCs/>
          <w:lang w:eastAsia="en-GB"/>
        </w:rPr>
        <w:t>D</w:t>
      </w:r>
      <w:r w:rsidR="00E57ABB">
        <w:rPr>
          <w:lang w:eastAsia="en-GB"/>
        </w:rPr>
        <w:t>) and the RedCap UEs need</w:t>
      </w:r>
      <w:r w:rsidR="00E57ABB" w:rsidRPr="00E57ABB">
        <w:t xml:space="preserve"> </w:t>
      </w:r>
      <w:r w:rsidR="00E57ABB">
        <w:t xml:space="preserve">to </w:t>
      </w:r>
      <w:r w:rsidR="00E57ABB" w:rsidRPr="00AE2BB5">
        <w:t>support of FG 6-1a</w:t>
      </w:r>
      <w:r w:rsidR="00E57ABB">
        <w:t xml:space="preserve"> </w:t>
      </w:r>
      <w:r w:rsidR="00E57ABB">
        <w:rPr>
          <w:lang w:eastAsia="en-GB"/>
        </w:rPr>
        <w:t>(</w:t>
      </w:r>
      <w:r w:rsidR="00B027A3">
        <w:rPr>
          <w:b/>
          <w:bCs/>
          <w:lang w:eastAsia="en-GB"/>
        </w:rPr>
        <w:t>F</w:t>
      </w:r>
      <w:r w:rsidR="00E57ABB" w:rsidRPr="00E57ABB">
        <w:rPr>
          <w:b/>
          <w:bCs/>
          <w:lang w:eastAsia="en-GB"/>
        </w:rPr>
        <w:t xml:space="preserve">eature </w:t>
      </w:r>
      <w:r w:rsidR="00E57ABB">
        <w:rPr>
          <w:b/>
          <w:bCs/>
          <w:lang w:eastAsia="en-GB"/>
        </w:rPr>
        <w:t>C</w:t>
      </w:r>
      <w:r w:rsidR="00E57ABB">
        <w:rPr>
          <w:lang w:eastAsia="en-GB"/>
        </w:rPr>
        <w:t>).</w:t>
      </w:r>
    </w:p>
    <w:p w14:paraId="37A1CCFD" w14:textId="17568411" w:rsidR="009F28F1" w:rsidRDefault="00A2391D" w:rsidP="003E66B2">
      <w:pPr>
        <w:pStyle w:val="BodyText"/>
        <w:jc w:val="center"/>
      </w:pPr>
      <w:r>
        <w:rPr>
          <w:noProof/>
        </w:rPr>
        <w:drawing>
          <wp:inline distT="0" distB="0" distL="0" distR="0" wp14:anchorId="76DFE2C1" wp14:editId="259AEF68">
            <wp:extent cx="6528612" cy="5554708"/>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530260" cy="5556110"/>
                    </a:xfrm>
                    <a:prstGeom prst="rect">
                      <a:avLst/>
                    </a:prstGeom>
                    <a:noFill/>
                  </pic:spPr>
                </pic:pic>
              </a:graphicData>
            </a:graphic>
          </wp:inline>
        </w:drawing>
      </w:r>
    </w:p>
    <w:p w14:paraId="31B99EDF" w14:textId="277E8C48" w:rsidR="003E66B2" w:rsidRDefault="003E66B2" w:rsidP="003E66B2">
      <w:pPr>
        <w:pStyle w:val="Caption"/>
        <w:jc w:val="center"/>
      </w:pPr>
      <w:bookmarkStart w:id="28" w:name="_Ref70602265"/>
      <w:r>
        <w:t xml:space="preserve">Figure </w:t>
      </w:r>
      <w:r>
        <w:fldChar w:fldCharType="begin"/>
      </w:r>
      <w:r>
        <w:instrText xml:space="preserve"> SEQ Figure \* ARABIC </w:instrText>
      </w:r>
      <w:r>
        <w:fldChar w:fldCharType="separate"/>
      </w:r>
      <w:r w:rsidR="00A96488">
        <w:rPr>
          <w:noProof/>
        </w:rPr>
        <w:t>5</w:t>
      </w:r>
      <w:r>
        <w:fldChar w:fldCharType="end"/>
      </w:r>
      <w:bookmarkEnd w:id="28"/>
      <w:r>
        <w:t xml:space="preserve">: </w:t>
      </w:r>
      <w:r w:rsidRPr="003E66B2">
        <w:t xml:space="preserve">An example solution for </w:t>
      </w:r>
      <w:r w:rsidR="00E57ABB">
        <w:t>avoiding any reduction in UL peak data rate KPI</w:t>
      </w:r>
      <w:r w:rsidRPr="003E66B2">
        <w:t>. This is achiev</w:t>
      </w:r>
      <w:r w:rsidR="008E4BB7">
        <w:t>ed</w:t>
      </w:r>
      <w:r w:rsidR="00592EC6">
        <w:t xml:space="preserve"> </w:t>
      </w:r>
      <w:r w:rsidRPr="003E66B2">
        <w:t xml:space="preserve">by allowing </w:t>
      </w:r>
      <w:r>
        <w:t>a separate initial DL BWP</w:t>
      </w:r>
      <w:r w:rsidRPr="003E66B2">
        <w:t xml:space="preserve"> </w:t>
      </w:r>
      <w:r>
        <w:t xml:space="preserve">configuration </w:t>
      </w:r>
      <w:r w:rsidR="00E57ABB">
        <w:t>for the use during initial access</w:t>
      </w:r>
      <w:r w:rsidR="003D23A0">
        <w:t xml:space="preserve"> (Feature B)</w:t>
      </w:r>
      <w:r w:rsidR="00E57ABB">
        <w:t xml:space="preserve">, </w:t>
      </w:r>
      <w:r w:rsidRPr="003E66B2">
        <w:t>allowing the PUCCH frequency hopping to be disabled for RedCap UE during initial access</w:t>
      </w:r>
      <w:r w:rsidR="001C3E11">
        <w:t xml:space="preserve"> (Feature D)</w:t>
      </w:r>
      <w:r w:rsidR="00E57ABB">
        <w:t>,</w:t>
      </w:r>
      <w:r w:rsidR="00E57ABB" w:rsidRPr="00E57ABB">
        <w:t xml:space="preserve"> </w:t>
      </w:r>
      <w:r w:rsidR="00E57ABB">
        <w:t>and requiring RedCap UEs to support FG 6-1a</w:t>
      </w:r>
      <w:r w:rsidR="001C3E11">
        <w:t xml:space="preserve"> (Feature C)</w:t>
      </w:r>
      <w:r w:rsidR="00E57ABB">
        <w:t>.</w:t>
      </w:r>
    </w:p>
    <w:p w14:paraId="4FFE58CA" w14:textId="586936D4" w:rsidR="003E66B2" w:rsidRDefault="003E66B2" w:rsidP="00A04F49">
      <w:pPr>
        <w:pStyle w:val="BodyText"/>
      </w:pPr>
    </w:p>
    <w:p w14:paraId="51140B69" w14:textId="2492C90E" w:rsidR="006260F5" w:rsidRDefault="00FD0F47" w:rsidP="006260F5">
      <w:pPr>
        <w:pStyle w:val="BodyText"/>
      </w:pPr>
      <w:r>
        <w:t>Based on the discussion, we make the proposal below.</w:t>
      </w:r>
    </w:p>
    <w:p w14:paraId="7B78A5CF" w14:textId="75D60024" w:rsidR="006260F5" w:rsidRDefault="006260F5" w:rsidP="006260F5">
      <w:pPr>
        <w:pStyle w:val="Proposal"/>
      </w:pPr>
      <w:bookmarkStart w:id="29" w:name="_Toc79049347"/>
      <w:r>
        <w:t>To address the PUSCH resource fragmentation issues</w:t>
      </w:r>
      <w:r w:rsidR="00FD0F47">
        <w:t xml:space="preserve"> and to avoid any reduction in UL peak data rate KPI</w:t>
      </w:r>
      <w:r>
        <w:t xml:space="preserve">, </w:t>
      </w:r>
      <w:r w:rsidR="00FD0F47">
        <w:t xml:space="preserve">down select between </w:t>
      </w:r>
      <w:r>
        <w:t xml:space="preserve">the </w:t>
      </w:r>
      <w:r w:rsidR="00FD0F47">
        <w:t>two options below.</w:t>
      </w:r>
      <w:bookmarkEnd w:id="29"/>
    </w:p>
    <w:p w14:paraId="4351BA09" w14:textId="2AA59B77" w:rsidR="006260F5" w:rsidRDefault="00FD0F47" w:rsidP="000D014F">
      <w:pPr>
        <w:pStyle w:val="Proposal"/>
        <w:numPr>
          <w:ilvl w:val="0"/>
          <w:numId w:val="0"/>
        </w:numPr>
        <w:ind w:left="1701"/>
      </w:pPr>
      <w:bookmarkStart w:id="30" w:name="_Toc79049348"/>
      <w:r>
        <w:t>Option 1:</w:t>
      </w:r>
      <w:bookmarkEnd w:id="30"/>
    </w:p>
    <w:p w14:paraId="293916CE" w14:textId="025AE5CD" w:rsidR="00FD0F47" w:rsidRDefault="00FD0F47" w:rsidP="00FD0F47">
      <w:pPr>
        <w:pStyle w:val="Proposal"/>
        <w:numPr>
          <w:ilvl w:val="0"/>
          <w:numId w:val="32"/>
        </w:numPr>
      </w:pPr>
      <w:bookmarkStart w:id="31" w:name="_Toc79049349"/>
      <w:r>
        <w:t>Support initial DL and UL BWPs with different center frequencies</w:t>
      </w:r>
      <w:r w:rsidR="00CC701F">
        <w:t xml:space="preserve"> in TDD</w:t>
      </w:r>
      <w:r>
        <w:t xml:space="preserve">. To minimize center frequency retuning, </w:t>
      </w:r>
      <w:r w:rsidR="001A3724">
        <w:t>t</w:t>
      </w:r>
      <w:r>
        <w:t>he center frequencies of the non-initial DL and UL BWPs are still required to be the same.</w:t>
      </w:r>
      <w:bookmarkEnd w:id="31"/>
    </w:p>
    <w:p w14:paraId="0E2C9DCD" w14:textId="388A01A0" w:rsidR="00FD0F47" w:rsidRDefault="00FD0F47" w:rsidP="00FD0F47">
      <w:pPr>
        <w:pStyle w:val="Proposal"/>
        <w:numPr>
          <w:ilvl w:val="0"/>
          <w:numId w:val="32"/>
        </w:numPr>
      </w:pPr>
      <w:bookmarkStart w:id="32" w:name="_Toc79049350"/>
      <w:r>
        <w:t>Require RedCap UEs to support FG 6-1a (“BWP operation without restriction on BW of BWP(s)” as described in TR 38.822).</w:t>
      </w:r>
      <w:bookmarkEnd w:id="32"/>
    </w:p>
    <w:p w14:paraId="2E49F335" w14:textId="496986DD" w:rsidR="00FD0F47" w:rsidRDefault="00FD0F47" w:rsidP="00FD0F47">
      <w:pPr>
        <w:pStyle w:val="Proposal"/>
        <w:numPr>
          <w:ilvl w:val="0"/>
          <w:numId w:val="32"/>
        </w:numPr>
      </w:pPr>
      <w:bookmarkStart w:id="33" w:name="_Toc79049351"/>
      <w:r>
        <w:t>Support PUCCH frequency hopping for Msg4 HARQ acknowledgement to be disabled.</w:t>
      </w:r>
      <w:bookmarkEnd w:id="33"/>
    </w:p>
    <w:p w14:paraId="52575711" w14:textId="4E599E9D" w:rsidR="00FD0F47" w:rsidRDefault="00FD0F47" w:rsidP="00FD0F47">
      <w:pPr>
        <w:pStyle w:val="Proposal"/>
        <w:numPr>
          <w:ilvl w:val="0"/>
          <w:numId w:val="0"/>
        </w:numPr>
        <w:ind w:left="1701"/>
      </w:pPr>
      <w:bookmarkStart w:id="34" w:name="_Toc79049352"/>
      <w:r>
        <w:t>Option 2:</w:t>
      </w:r>
      <w:bookmarkEnd w:id="34"/>
    </w:p>
    <w:p w14:paraId="34428498" w14:textId="51F1EE39" w:rsidR="001A3724" w:rsidRDefault="001A3724" w:rsidP="00FD0F47">
      <w:pPr>
        <w:pStyle w:val="Proposal"/>
        <w:numPr>
          <w:ilvl w:val="0"/>
          <w:numId w:val="32"/>
        </w:numPr>
      </w:pPr>
      <w:bookmarkStart w:id="35" w:name="_Toc79049353"/>
      <w:r>
        <w:t>A</w:t>
      </w:r>
      <w:r w:rsidRPr="001A3724">
        <w:t xml:space="preserve"> separate initial DL BWP for RedCap UEs </w:t>
      </w:r>
      <w:r>
        <w:t>can be</w:t>
      </w:r>
      <w:r w:rsidRPr="001A3724">
        <w:t xml:space="preserve"> configured/defined</w:t>
      </w:r>
      <w:r>
        <w:t xml:space="preserve"> and </w:t>
      </w:r>
      <w:r w:rsidRPr="001A3724">
        <w:t>used during initial access.</w:t>
      </w:r>
      <w:bookmarkEnd w:id="35"/>
    </w:p>
    <w:p w14:paraId="423ED7A5" w14:textId="16F79CAE" w:rsidR="00FD0F47" w:rsidRDefault="00FD0F47" w:rsidP="00FD0F47">
      <w:pPr>
        <w:pStyle w:val="Proposal"/>
        <w:numPr>
          <w:ilvl w:val="0"/>
          <w:numId w:val="32"/>
        </w:numPr>
      </w:pPr>
      <w:bookmarkStart w:id="36" w:name="_Toc79049354"/>
      <w:r>
        <w:t>Require RedCap UEs to support FG 6-1a (“BWP operation without restriction on BW of BWP(s)” as described in TR 38.822).</w:t>
      </w:r>
      <w:bookmarkEnd w:id="36"/>
    </w:p>
    <w:p w14:paraId="70679F4E" w14:textId="2F61A1F8" w:rsidR="00FD0F47" w:rsidRDefault="00FD0F47" w:rsidP="00FD0F47">
      <w:pPr>
        <w:pStyle w:val="Proposal"/>
        <w:numPr>
          <w:ilvl w:val="0"/>
          <w:numId w:val="32"/>
        </w:numPr>
      </w:pPr>
      <w:bookmarkStart w:id="37" w:name="_Toc79049355"/>
      <w:r>
        <w:t>Support PUCCH frequency hopping for Msg4 HARQ acknowledgement to be disabled.</w:t>
      </w:r>
      <w:bookmarkEnd w:id="37"/>
    </w:p>
    <w:p w14:paraId="37EB5693" w14:textId="30070BB3" w:rsidR="00C01F33" w:rsidRPr="00CE0424" w:rsidRDefault="00933894" w:rsidP="00A85C11">
      <w:pPr>
        <w:pStyle w:val="Heading1"/>
        <w:ind w:left="0" w:firstLine="0"/>
      </w:pPr>
      <w:r>
        <w:t>6</w:t>
      </w:r>
      <w:r w:rsidR="00A85C11">
        <w:tab/>
      </w:r>
      <w:r w:rsidR="00C01F33" w:rsidRPr="00CE0424">
        <w:t>Conclusion</w:t>
      </w:r>
    </w:p>
    <w:p w14:paraId="26C12064" w14:textId="571A78E4" w:rsidR="00A85C11" w:rsidRDefault="00A85C11" w:rsidP="008E065E">
      <w:pPr>
        <w:pStyle w:val="BodyText"/>
      </w:pPr>
      <w:r>
        <w:t xml:space="preserve">To ensure a </w:t>
      </w:r>
      <w:r w:rsidR="00B2486E">
        <w:t>commercial success</w:t>
      </w:r>
      <w:r>
        <w:t xml:space="preserve"> of </w:t>
      </w:r>
      <w:r w:rsidR="00F340B3">
        <w:t xml:space="preserve">the </w:t>
      </w:r>
      <w:r>
        <w:t>RedCap features, it is necess</w:t>
      </w:r>
      <w:r w:rsidR="00F02ECF">
        <w:t>ary</w:t>
      </w:r>
      <w:r>
        <w:t xml:space="preserve"> to ensure good c</w:t>
      </w:r>
      <w:r w:rsidRPr="00A85C11">
        <w:t>oexistence with non-RedCap UEs</w:t>
      </w:r>
      <w:r>
        <w:t xml:space="preserve">. Such an objective is also clearly stated in the RedCap WID </w:t>
      </w:r>
      <w:r w:rsidR="0004290A">
        <w:fldChar w:fldCharType="begin"/>
      </w:r>
      <w:r w:rsidR="0004290A">
        <w:instrText xml:space="preserve"> REF _Ref70682924 \r \h </w:instrText>
      </w:r>
      <w:r w:rsidR="00AD5A22">
        <w:instrText xml:space="preserve"> \* MERGEFORMAT </w:instrText>
      </w:r>
      <w:r w:rsidR="0004290A">
        <w:fldChar w:fldCharType="separate"/>
      </w:r>
      <w:r w:rsidR="00A96488">
        <w:t>[1]</w:t>
      </w:r>
      <w:r w:rsidR="0004290A">
        <w:fldChar w:fldCharType="end"/>
      </w:r>
      <w:r>
        <w:t xml:space="preserve">. </w:t>
      </w:r>
      <w:r w:rsidR="00B027A3">
        <w:t>One important coexistence aspect is the potential impact on UL peak user data rate KPI. In this contribution, we illustrate how PUSCH resource fragmentation may occur when support for RedCap UEs is introduced. We discuss potential solutions for avoiding such a problem in order to avoid impact on the UL peak user data rate KPI. Other solutions can also be considered.</w:t>
      </w:r>
    </w:p>
    <w:p w14:paraId="739016D5" w14:textId="77777777" w:rsidR="00A85C11" w:rsidRDefault="00A85C11" w:rsidP="006632B8">
      <w:pPr>
        <w:pStyle w:val="BodyText"/>
      </w:pPr>
    </w:p>
    <w:p w14:paraId="5A650F21" w14:textId="4C8574E2" w:rsidR="008E065E" w:rsidRDefault="008E065E" w:rsidP="006632B8">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p>
    <w:p w14:paraId="1EE8660A" w14:textId="77777777" w:rsidR="00A96488" w:rsidRDefault="006F6582">
      <w:pPr>
        <w:pStyle w:val="TableofFigures"/>
        <w:tabs>
          <w:tab w:val="right" w:leader="dot" w:pos="9629"/>
        </w:tabs>
        <w:rPr>
          <w:rFonts w:asciiTheme="minorHAnsi" w:eastAsiaTheme="minorEastAsia" w:hAnsiTheme="minorHAnsi"/>
          <w:b w:val="0"/>
          <w:noProof/>
          <w:sz w:val="22"/>
          <w:lang w:eastAsia="en-US"/>
        </w:rPr>
      </w:pPr>
      <w:r>
        <w:rPr>
          <w:b w:val="0"/>
          <w:bCs/>
        </w:rPr>
        <w:fldChar w:fldCharType="begin"/>
      </w:r>
      <w:r>
        <w:rPr>
          <w:b w:val="0"/>
          <w:bCs/>
        </w:rPr>
        <w:instrText xml:space="preserve"> TOC \f O \n \h \z \t "Observation" \c </w:instrText>
      </w:r>
      <w:r>
        <w:rPr>
          <w:b w:val="0"/>
          <w:bCs/>
        </w:rPr>
        <w:fldChar w:fldCharType="separate"/>
      </w:r>
      <w:hyperlink w:anchor="_Toc79049332" w:history="1">
        <w:r w:rsidR="00A96488" w:rsidRPr="005D056E">
          <w:rPr>
            <w:rStyle w:val="Hyperlink"/>
            <w:noProof/>
          </w:rPr>
          <w:t>Observation 1</w:t>
        </w:r>
        <w:r w:rsidR="00A96488">
          <w:rPr>
            <w:rFonts w:asciiTheme="minorHAnsi" w:eastAsiaTheme="minorEastAsia" w:hAnsiTheme="minorHAnsi"/>
            <w:b w:val="0"/>
            <w:noProof/>
            <w:sz w:val="22"/>
            <w:lang w:eastAsia="en-US"/>
          </w:rPr>
          <w:tab/>
        </w:r>
        <w:r w:rsidR="00A96488" w:rsidRPr="005D056E">
          <w:rPr>
            <w:rStyle w:val="Hyperlink"/>
            <w:noProof/>
          </w:rPr>
          <w:t>UL peak data rate of eMBB UEs is an important KPI when an MNO evaluates the potential introduction of a new technology or equipment. The RedCap work item should ensure that the RedCap introduction does not considerably impact UL peak data rate of eMBB UEs.</w:t>
        </w:r>
      </w:hyperlink>
    </w:p>
    <w:p w14:paraId="549F5C15" w14:textId="77777777" w:rsidR="00A96488" w:rsidRDefault="00A96488">
      <w:pPr>
        <w:pStyle w:val="TableofFigures"/>
        <w:tabs>
          <w:tab w:val="right" w:leader="dot" w:pos="9629"/>
        </w:tabs>
        <w:rPr>
          <w:rFonts w:asciiTheme="minorHAnsi" w:eastAsiaTheme="minorEastAsia" w:hAnsiTheme="minorHAnsi"/>
          <w:b w:val="0"/>
          <w:noProof/>
          <w:sz w:val="22"/>
          <w:lang w:eastAsia="en-US"/>
        </w:rPr>
      </w:pPr>
      <w:hyperlink w:anchor="_Toc79049333" w:history="1">
        <w:r w:rsidRPr="005D056E">
          <w:rPr>
            <w:rStyle w:val="Hyperlink"/>
            <w:noProof/>
          </w:rPr>
          <w:t>Observation 2</w:t>
        </w:r>
        <w:r>
          <w:rPr>
            <w:rFonts w:asciiTheme="minorHAnsi" w:eastAsiaTheme="minorEastAsia" w:hAnsiTheme="minorHAnsi"/>
            <w:b w:val="0"/>
            <w:noProof/>
            <w:sz w:val="22"/>
            <w:lang w:eastAsia="en-US"/>
          </w:rPr>
          <w:tab/>
        </w:r>
        <w:r w:rsidRPr="005D056E">
          <w:rPr>
            <w:rStyle w:val="Hyperlink"/>
            <w:noProof/>
          </w:rPr>
          <w:t>In Rel-15/16 networks, BWP adaptation between a narrow initial DL BWP and a wider non-initial DL BWP can be enabled to help achieve UE power saving without any impact on the UL peak user data rate KPI.</w:t>
        </w:r>
      </w:hyperlink>
    </w:p>
    <w:p w14:paraId="009C724A" w14:textId="77777777" w:rsidR="00A96488" w:rsidRDefault="00A96488">
      <w:pPr>
        <w:pStyle w:val="TableofFigures"/>
        <w:tabs>
          <w:tab w:val="right" w:leader="dot" w:pos="9629"/>
        </w:tabs>
        <w:rPr>
          <w:rFonts w:asciiTheme="minorHAnsi" w:eastAsiaTheme="minorEastAsia" w:hAnsiTheme="minorHAnsi"/>
          <w:b w:val="0"/>
          <w:noProof/>
          <w:sz w:val="22"/>
          <w:lang w:eastAsia="en-US"/>
        </w:rPr>
      </w:pPr>
      <w:hyperlink w:anchor="_Toc79049334" w:history="1">
        <w:r w:rsidRPr="005D056E">
          <w:rPr>
            <w:rStyle w:val="Hyperlink"/>
            <w:noProof/>
          </w:rPr>
          <w:t>Observation 3</w:t>
        </w:r>
        <w:r>
          <w:rPr>
            <w:rFonts w:asciiTheme="minorHAnsi" w:eastAsiaTheme="minorEastAsia" w:hAnsiTheme="minorHAnsi"/>
            <w:b w:val="0"/>
            <w:noProof/>
            <w:sz w:val="22"/>
            <w:lang w:eastAsia="en-US"/>
          </w:rPr>
          <w:tab/>
        </w:r>
        <w:r w:rsidRPr="005D056E">
          <w:rPr>
            <w:rStyle w:val="Hyperlink"/>
            <w:noProof/>
          </w:rPr>
          <w:t>A Rel-15/16 UE cannot be expected to support non-contiguous PUSCH resource allocation as the features of supporting almost contiguous UL CP-OFDM (Feature 2-7 defined in TR 38.822) and supporting resource allocation Type 0 for PUSCH (Feature 5-2 defined in TR 38.822) are optional with capability signaling.</w:t>
        </w:r>
      </w:hyperlink>
    </w:p>
    <w:p w14:paraId="0CD94080" w14:textId="77777777" w:rsidR="00A96488" w:rsidRDefault="00A96488">
      <w:pPr>
        <w:pStyle w:val="TableofFigures"/>
        <w:tabs>
          <w:tab w:val="right" w:leader="dot" w:pos="9629"/>
        </w:tabs>
        <w:rPr>
          <w:rFonts w:asciiTheme="minorHAnsi" w:eastAsiaTheme="minorEastAsia" w:hAnsiTheme="minorHAnsi"/>
          <w:b w:val="0"/>
          <w:noProof/>
          <w:sz w:val="22"/>
          <w:lang w:eastAsia="en-US"/>
        </w:rPr>
      </w:pPr>
      <w:hyperlink w:anchor="_Toc79049335" w:history="1">
        <w:r w:rsidRPr="005D056E">
          <w:rPr>
            <w:rStyle w:val="Hyperlink"/>
            <w:noProof/>
          </w:rPr>
          <w:t>Observation 4</w:t>
        </w:r>
        <w:r>
          <w:rPr>
            <w:rFonts w:asciiTheme="minorHAnsi" w:eastAsiaTheme="minorEastAsia" w:hAnsiTheme="minorHAnsi"/>
            <w:b w:val="0"/>
            <w:noProof/>
            <w:sz w:val="22"/>
            <w:lang w:eastAsia="en-US"/>
          </w:rPr>
          <w:tab/>
        </w:r>
        <w:r w:rsidRPr="005D056E">
          <w:rPr>
            <w:rStyle w:val="Hyperlink"/>
            <w:noProof/>
          </w:rPr>
          <w:t>Without enhancing the existing BWP or PUCCH solutions, PUSCH resource fragmentation due to PUCCH transmissions from RedCap UEs may result in a significant reduction in UL peak user data rate KPI.</w:t>
        </w:r>
      </w:hyperlink>
    </w:p>
    <w:p w14:paraId="058C2A26" w14:textId="77777777" w:rsidR="00A96488" w:rsidRDefault="00A96488">
      <w:pPr>
        <w:pStyle w:val="TableofFigures"/>
        <w:tabs>
          <w:tab w:val="right" w:leader="dot" w:pos="9629"/>
        </w:tabs>
        <w:rPr>
          <w:rFonts w:asciiTheme="minorHAnsi" w:eastAsiaTheme="minorEastAsia" w:hAnsiTheme="minorHAnsi"/>
          <w:b w:val="0"/>
          <w:noProof/>
          <w:sz w:val="22"/>
          <w:lang w:eastAsia="en-US"/>
        </w:rPr>
      </w:pPr>
      <w:hyperlink w:anchor="_Toc79049336" w:history="1">
        <w:r w:rsidRPr="005D056E">
          <w:rPr>
            <w:rStyle w:val="Hyperlink"/>
            <w:noProof/>
          </w:rPr>
          <w:t>Observation 5</w:t>
        </w:r>
        <w:r>
          <w:rPr>
            <w:rFonts w:asciiTheme="minorHAnsi" w:eastAsiaTheme="minorEastAsia" w:hAnsiTheme="minorHAnsi"/>
            <w:b w:val="0"/>
            <w:noProof/>
            <w:sz w:val="22"/>
            <w:lang w:eastAsia="en-US"/>
          </w:rPr>
          <w:tab/>
        </w:r>
        <w:r w:rsidRPr="005D056E">
          <w:rPr>
            <w:rStyle w:val="Hyperlink"/>
            <w:noProof/>
          </w:rPr>
          <w:t>Without enhancing the existing BWP or PUCCH solutions, PUSCH resource fragmentation due to PUCCH transmissions from RedCap UEs may also result in under-utilization of UL resources.</w:t>
        </w:r>
      </w:hyperlink>
    </w:p>
    <w:p w14:paraId="6D39A2E5" w14:textId="77777777" w:rsidR="00A96488" w:rsidRDefault="00A96488">
      <w:pPr>
        <w:pStyle w:val="TableofFigures"/>
        <w:tabs>
          <w:tab w:val="right" w:leader="dot" w:pos="9629"/>
        </w:tabs>
        <w:rPr>
          <w:rFonts w:asciiTheme="minorHAnsi" w:eastAsiaTheme="minorEastAsia" w:hAnsiTheme="minorHAnsi"/>
          <w:b w:val="0"/>
          <w:noProof/>
          <w:sz w:val="22"/>
          <w:lang w:eastAsia="en-US"/>
        </w:rPr>
      </w:pPr>
      <w:hyperlink w:anchor="_Toc79049337" w:history="1">
        <w:r w:rsidRPr="005D056E">
          <w:rPr>
            <w:rStyle w:val="Hyperlink"/>
            <w:noProof/>
          </w:rPr>
          <w:t>Observation 6</w:t>
        </w:r>
        <w:r>
          <w:rPr>
            <w:rFonts w:asciiTheme="minorHAnsi" w:eastAsiaTheme="minorEastAsia" w:hAnsiTheme="minorHAnsi"/>
            <w:b w:val="0"/>
            <w:noProof/>
            <w:sz w:val="22"/>
            <w:lang w:eastAsia="en-US"/>
          </w:rPr>
          <w:tab/>
        </w:r>
        <w:r w:rsidRPr="005D056E">
          <w:rPr>
            <w:rStyle w:val="Hyperlink"/>
            <w:noProof/>
          </w:rPr>
          <w:t>PUCCH transmissions during random access procedures for Msg4 acknowledgement can be frequent events in a cell. Thus, it is of great importance that RAN1 addresses the issue of PUSCH resource fragmentation caused by PUCCH transmissions.</w:t>
        </w:r>
      </w:hyperlink>
    </w:p>
    <w:p w14:paraId="572B1E64" w14:textId="77777777" w:rsidR="00A96488" w:rsidRDefault="00A96488">
      <w:pPr>
        <w:pStyle w:val="TableofFigures"/>
        <w:tabs>
          <w:tab w:val="right" w:leader="dot" w:pos="9629"/>
        </w:tabs>
        <w:rPr>
          <w:rFonts w:asciiTheme="minorHAnsi" w:eastAsiaTheme="minorEastAsia" w:hAnsiTheme="minorHAnsi"/>
          <w:b w:val="0"/>
          <w:noProof/>
          <w:sz w:val="22"/>
          <w:lang w:eastAsia="en-US"/>
        </w:rPr>
      </w:pPr>
      <w:hyperlink w:anchor="_Toc79049338" w:history="1">
        <w:r w:rsidRPr="005D056E">
          <w:rPr>
            <w:rStyle w:val="Hyperlink"/>
            <w:noProof/>
          </w:rPr>
          <w:t>Observation 7</w:t>
        </w:r>
        <w:r>
          <w:rPr>
            <w:rFonts w:asciiTheme="minorHAnsi" w:eastAsiaTheme="minorEastAsia" w:hAnsiTheme="minorHAnsi"/>
            <w:b w:val="0"/>
            <w:noProof/>
            <w:sz w:val="22"/>
            <w:lang w:eastAsia="en-US"/>
          </w:rPr>
          <w:tab/>
        </w:r>
        <w:r w:rsidRPr="005D056E">
          <w:rPr>
            <w:rStyle w:val="Hyperlink"/>
            <w:noProof/>
          </w:rPr>
          <w:t>Considering that the required switching time between DL and UL is very relaxed during initial access, frequency retuning between DL and UL center frequencies during initial access is not expected to be an issue as far as the UE implementation is concerned.</w:t>
        </w:r>
      </w:hyperlink>
    </w:p>
    <w:p w14:paraId="2C39D9D7" w14:textId="77777777" w:rsidR="00A96488" w:rsidRDefault="00A96488">
      <w:pPr>
        <w:pStyle w:val="TableofFigures"/>
        <w:tabs>
          <w:tab w:val="right" w:leader="dot" w:pos="9629"/>
        </w:tabs>
        <w:rPr>
          <w:rFonts w:asciiTheme="minorHAnsi" w:eastAsiaTheme="minorEastAsia" w:hAnsiTheme="minorHAnsi"/>
          <w:b w:val="0"/>
          <w:noProof/>
          <w:sz w:val="22"/>
          <w:lang w:eastAsia="en-US"/>
        </w:rPr>
      </w:pPr>
      <w:hyperlink w:anchor="_Toc79049339" w:history="1">
        <w:r w:rsidRPr="005D056E">
          <w:rPr>
            <w:rStyle w:val="Hyperlink"/>
            <w:noProof/>
          </w:rPr>
          <w:t>Observation 8</w:t>
        </w:r>
        <w:r>
          <w:rPr>
            <w:rFonts w:asciiTheme="minorHAnsi" w:eastAsiaTheme="minorEastAsia" w:hAnsiTheme="minorHAnsi"/>
            <w:b w:val="0"/>
            <w:noProof/>
            <w:sz w:val="22"/>
            <w:lang w:eastAsia="en-US"/>
          </w:rPr>
          <w:tab/>
        </w:r>
        <w:r w:rsidRPr="005D056E">
          <w:rPr>
            <w:rStyle w:val="Hyperlink"/>
            <w:noProof/>
          </w:rPr>
          <w:t>It is expected that the same RedCap UE would support operation in both FDD and TDD bands. Therefore, the same RedCap UE would have the capability of frequency retuning between DL and UL center frequencies, regardless whether it is a HD-FDD or TDD operation.</w:t>
        </w:r>
      </w:hyperlink>
    </w:p>
    <w:p w14:paraId="4266DC14" w14:textId="77777777" w:rsidR="00A96488" w:rsidRDefault="00A96488">
      <w:pPr>
        <w:pStyle w:val="TableofFigures"/>
        <w:tabs>
          <w:tab w:val="right" w:leader="dot" w:pos="9629"/>
        </w:tabs>
        <w:rPr>
          <w:rFonts w:asciiTheme="minorHAnsi" w:eastAsiaTheme="minorEastAsia" w:hAnsiTheme="minorHAnsi"/>
          <w:b w:val="0"/>
          <w:noProof/>
          <w:sz w:val="22"/>
          <w:lang w:eastAsia="en-US"/>
        </w:rPr>
      </w:pPr>
      <w:hyperlink w:anchor="_Toc79049340" w:history="1">
        <w:r w:rsidRPr="005D056E">
          <w:rPr>
            <w:rStyle w:val="Hyperlink"/>
            <w:noProof/>
          </w:rPr>
          <w:t>Observation 9</w:t>
        </w:r>
        <w:r>
          <w:rPr>
            <w:rFonts w:asciiTheme="minorHAnsi" w:eastAsiaTheme="minorEastAsia" w:hAnsiTheme="minorHAnsi"/>
            <w:b w:val="0"/>
            <w:noProof/>
            <w:sz w:val="22"/>
            <w:lang w:eastAsia="en-US"/>
          </w:rPr>
          <w:tab/>
        </w:r>
        <w:r w:rsidRPr="005D056E">
          <w:rPr>
            <w:rStyle w:val="Hyperlink"/>
            <w:noProof/>
          </w:rPr>
          <w:t>Frequency retuning between DL and UL center frequencies during initial access within a TDD band is not expected to impose more challenges from the UE implementation point of view than in the half-duplex FDD case.</w:t>
        </w:r>
      </w:hyperlink>
    </w:p>
    <w:p w14:paraId="7D91EC5D" w14:textId="2C082F67" w:rsidR="006E1C82" w:rsidRDefault="006F6582" w:rsidP="006632B8">
      <w:pPr>
        <w:pStyle w:val="BodyText"/>
        <w:rPr>
          <w:b/>
          <w:bCs/>
        </w:rPr>
      </w:pPr>
      <w:r>
        <w:rPr>
          <w:b/>
          <w:bCs/>
        </w:rPr>
        <w:fldChar w:fldCharType="end"/>
      </w:r>
    </w:p>
    <w:p w14:paraId="6225A1B8" w14:textId="2A0B50AD" w:rsidR="006E1C82" w:rsidRDefault="008E065E" w:rsidP="006632B8">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52F24D27" w14:textId="77777777" w:rsidR="00A96488" w:rsidRDefault="006E1C82">
      <w:pPr>
        <w:pStyle w:val="TableofFigures"/>
        <w:tabs>
          <w:tab w:val="right" w:leader="dot" w:pos="9629"/>
        </w:tabs>
        <w:rPr>
          <w:rFonts w:asciiTheme="minorHAnsi" w:eastAsiaTheme="minorEastAsia" w:hAnsiTheme="minorHAnsi"/>
          <w:b w:val="0"/>
          <w:noProof/>
          <w:sz w:val="22"/>
          <w:lang w:eastAsia="en-US"/>
        </w:rPr>
      </w:pPr>
      <w:r>
        <w:rPr>
          <w:b w:val="0"/>
          <w:bCs/>
        </w:rPr>
        <w:fldChar w:fldCharType="begin"/>
      </w:r>
      <w:r>
        <w:rPr>
          <w:b w:val="0"/>
          <w:bCs/>
        </w:rPr>
        <w:instrText xml:space="preserve"> TOC \n \h \z \t "Proposal" \c </w:instrText>
      </w:r>
      <w:r>
        <w:rPr>
          <w:b w:val="0"/>
          <w:bCs/>
        </w:rPr>
        <w:fldChar w:fldCharType="separate"/>
      </w:r>
      <w:hyperlink w:anchor="_Toc79049346" w:history="1">
        <w:r w:rsidR="00A96488" w:rsidRPr="00E142BA">
          <w:rPr>
            <w:rStyle w:val="Hyperlink"/>
            <w:noProof/>
          </w:rPr>
          <w:t>Proposal 1</w:t>
        </w:r>
        <w:r w:rsidR="00A96488">
          <w:rPr>
            <w:rFonts w:asciiTheme="minorHAnsi" w:eastAsiaTheme="minorEastAsia" w:hAnsiTheme="minorHAnsi"/>
            <w:b w:val="0"/>
            <w:noProof/>
            <w:sz w:val="22"/>
            <w:lang w:eastAsia="en-US"/>
          </w:rPr>
          <w:tab/>
        </w:r>
        <w:r w:rsidR="00A96488" w:rsidRPr="00E142BA">
          <w:rPr>
            <w:rStyle w:val="Hyperlink"/>
            <w:noProof/>
          </w:rPr>
          <w:t>The introduction of RedCap support needs to allow the network to have an option of configuring the UL and DL bandwidth parts to avoid reduction in the UL peak user data rate KPI.</w:t>
        </w:r>
      </w:hyperlink>
    </w:p>
    <w:p w14:paraId="3486A790" w14:textId="77777777" w:rsidR="00A96488" w:rsidRDefault="00A96488">
      <w:pPr>
        <w:pStyle w:val="TableofFigures"/>
        <w:tabs>
          <w:tab w:val="right" w:leader="dot" w:pos="9629"/>
        </w:tabs>
        <w:rPr>
          <w:rFonts w:asciiTheme="minorHAnsi" w:eastAsiaTheme="minorEastAsia" w:hAnsiTheme="minorHAnsi"/>
          <w:b w:val="0"/>
          <w:noProof/>
          <w:sz w:val="22"/>
          <w:lang w:eastAsia="en-US"/>
        </w:rPr>
      </w:pPr>
      <w:hyperlink w:anchor="_Toc79049347" w:history="1">
        <w:r w:rsidRPr="00E142BA">
          <w:rPr>
            <w:rStyle w:val="Hyperlink"/>
            <w:noProof/>
          </w:rPr>
          <w:t>Proposal 2</w:t>
        </w:r>
        <w:r>
          <w:rPr>
            <w:rFonts w:asciiTheme="minorHAnsi" w:eastAsiaTheme="minorEastAsia" w:hAnsiTheme="minorHAnsi"/>
            <w:b w:val="0"/>
            <w:noProof/>
            <w:sz w:val="22"/>
            <w:lang w:eastAsia="en-US"/>
          </w:rPr>
          <w:tab/>
        </w:r>
        <w:r w:rsidRPr="00E142BA">
          <w:rPr>
            <w:rStyle w:val="Hyperlink"/>
            <w:noProof/>
          </w:rPr>
          <w:t>To address the PUSCH resource fragmentation issues and to avoid any reduction in UL peak data rate KPI, down select between the two options below.</w:t>
        </w:r>
      </w:hyperlink>
    </w:p>
    <w:p w14:paraId="2CD70359" w14:textId="77777777" w:rsidR="00A96488" w:rsidRPr="006624BA" w:rsidRDefault="00A96488" w:rsidP="006624BA">
      <w:pPr>
        <w:pStyle w:val="TableofFigures"/>
        <w:tabs>
          <w:tab w:val="left" w:pos="2070"/>
          <w:tab w:val="right" w:leader="dot" w:pos="9629"/>
        </w:tabs>
        <w:ind w:firstLine="9"/>
        <w:rPr>
          <w:rStyle w:val="Hyperlink"/>
        </w:rPr>
      </w:pPr>
      <w:hyperlink w:anchor="_Toc79049348" w:history="1">
        <w:r w:rsidRPr="00E142BA">
          <w:rPr>
            <w:rStyle w:val="Hyperlink"/>
            <w:noProof/>
          </w:rPr>
          <w:t>Option 1:</w:t>
        </w:r>
      </w:hyperlink>
    </w:p>
    <w:p w14:paraId="4FA84479" w14:textId="77777777" w:rsidR="00A96488" w:rsidRDefault="00A96488" w:rsidP="006624BA">
      <w:pPr>
        <w:pStyle w:val="TableofFigures"/>
        <w:tabs>
          <w:tab w:val="left" w:pos="2070"/>
          <w:tab w:val="right" w:leader="dot" w:pos="9629"/>
        </w:tabs>
        <w:ind w:firstLine="9"/>
        <w:rPr>
          <w:rFonts w:asciiTheme="minorHAnsi" w:eastAsiaTheme="minorEastAsia" w:hAnsiTheme="minorHAnsi"/>
          <w:b w:val="0"/>
          <w:noProof/>
          <w:sz w:val="22"/>
          <w:lang w:eastAsia="en-US"/>
        </w:rPr>
      </w:pPr>
      <w:hyperlink w:anchor="_Toc79049349" w:history="1">
        <w:r w:rsidRPr="00E142BA">
          <w:rPr>
            <w:rStyle w:val="Hyperlink"/>
            <w:rFonts w:ascii="Symbol" w:hAnsi="Symbol"/>
            <w:noProof/>
          </w:rPr>
          <w:t></w:t>
        </w:r>
        <w:r>
          <w:rPr>
            <w:rFonts w:asciiTheme="minorHAnsi" w:eastAsiaTheme="minorEastAsia" w:hAnsiTheme="minorHAnsi"/>
            <w:b w:val="0"/>
            <w:noProof/>
            <w:sz w:val="22"/>
            <w:lang w:eastAsia="en-US"/>
          </w:rPr>
          <w:tab/>
        </w:r>
        <w:r w:rsidRPr="00E142BA">
          <w:rPr>
            <w:rStyle w:val="Hyperlink"/>
            <w:noProof/>
          </w:rPr>
          <w:t>Support initial DL and UL BWPs with different center frequencies in TDD. To minimize center frequency retuning, the center frequencies of the non-initial DL and UL BWPs are still required to be the same.</w:t>
        </w:r>
      </w:hyperlink>
    </w:p>
    <w:p w14:paraId="0557B951" w14:textId="77777777" w:rsidR="00A96488" w:rsidRDefault="00A96488" w:rsidP="006624BA">
      <w:pPr>
        <w:pStyle w:val="TableofFigures"/>
        <w:tabs>
          <w:tab w:val="left" w:pos="2070"/>
          <w:tab w:val="right" w:leader="dot" w:pos="9629"/>
        </w:tabs>
        <w:ind w:firstLine="9"/>
        <w:rPr>
          <w:rFonts w:asciiTheme="minorHAnsi" w:eastAsiaTheme="minorEastAsia" w:hAnsiTheme="minorHAnsi"/>
          <w:b w:val="0"/>
          <w:noProof/>
          <w:sz w:val="22"/>
          <w:lang w:eastAsia="en-US"/>
        </w:rPr>
      </w:pPr>
      <w:hyperlink w:anchor="_Toc79049350" w:history="1">
        <w:r w:rsidRPr="00E142BA">
          <w:rPr>
            <w:rStyle w:val="Hyperlink"/>
            <w:rFonts w:ascii="Symbol" w:hAnsi="Symbol"/>
            <w:noProof/>
          </w:rPr>
          <w:t></w:t>
        </w:r>
        <w:r>
          <w:rPr>
            <w:rFonts w:asciiTheme="minorHAnsi" w:eastAsiaTheme="minorEastAsia" w:hAnsiTheme="minorHAnsi"/>
            <w:b w:val="0"/>
            <w:noProof/>
            <w:sz w:val="22"/>
            <w:lang w:eastAsia="en-US"/>
          </w:rPr>
          <w:tab/>
        </w:r>
        <w:r w:rsidRPr="00E142BA">
          <w:rPr>
            <w:rStyle w:val="Hyperlink"/>
            <w:noProof/>
          </w:rPr>
          <w:t>Require RedCap UEs to support FG 6-1a (“BWP operation without restriction on BW of BWP(s)” as described in TR 38.822).</w:t>
        </w:r>
      </w:hyperlink>
    </w:p>
    <w:p w14:paraId="116D065C" w14:textId="77777777" w:rsidR="00A96488" w:rsidRDefault="00A96488" w:rsidP="006624BA">
      <w:pPr>
        <w:pStyle w:val="TableofFigures"/>
        <w:tabs>
          <w:tab w:val="left" w:pos="2070"/>
          <w:tab w:val="right" w:leader="dot" w:pos="9629"/>
        </w:tabs>
        <w:ind w:firstLine="9"/>
        <w:rPr>
          <w:rFonts w:asciiTheme="minorHAnsi" w:eastAsiaTheme="minorEastAsia" w:hAnsiTheme="minorHAnsi"/>
          <w:b w:val="0"/>
          <w:noProof/>
          <w:sz w:val="22"/>
          <w:lang w:eastAsia="en-US"/>
        </w:rPr>
      </w:pPr>
      <w:hyperlink w:anchor="_Toc79049351" w:history="1">
        <w:r w:rsidRPr="00E142BA">
          <w:rPr>
            <w:rStyle w:val="Hyperlink"/>
            <w:rFonts w:ascii="Symbol" w:hAnsi="Symbol"/>
            <w:noProof/>
          </w:rPr>
          <w:t></w:t>
        </w:r>
        <w:r>
          <w:rPr>
            <w:rFonts w:asciiTheme="minorHAnsi" w:eastAsiaTheme="minorEastAsia" w:hAnsiTheme="minorHAnsi"/>
            <w:b w:val="0"/>
            <w:noProof/>
            <w:sz w:val="22"/>
            <w:lang w:eastAsia="en-US"/>
          </w:rPr>
          <w:tab/>
        </w:r>
        <w:r w:rsidRPr="00E142BA">
          <w:rPr>
            <w:rStyle w:val="Hyperlink"/>
            <w:noProof/>
          </w:rPr>
          <w:t>Support PUCCH frequency hopping for Msg4 HARQ acknowledgement to be disabled.</w:t>
        </w:r>
      </w:hyperlink>
    </w:p>
    <w:p w14:paraId="1E99B82A" w14:textId="77777777" w:rsidR="00A96488" w:rsidRDefault="00A96488" w:rsidP="006624BA">
      <w:pPr>
        <w:pStyle w:val="TableofFigures"/>
        <w:tabs>
          <w:tab w:val="left" w:pos="2070"/>
          <w:tab w:val="right" w:leader="dot" w:pos="9629"/>
        </w:tabs>
        <w:ind w:firstLine="9"/>
        <w:rPr>
          <w:rFonts w:asciiTheme="minorHAnsi" w:eastAsiaTheme="minorEastAsia" w:hAnsiTheme="minorHAnsi"/>
          <w:b w:val="0"/>
          <w:noProof/>
          <w:sz w:val="22"/>
          <w:lang w:eastAsia="en-US"/>
        </w:rPr>
      </w:pPr>
      <w:hyperlink w:anchor="_Toc79049352" w:history="1">
        <w:r w:rsidRPr="00E142BA">
          <w:rPr>
            <w:rStyle w:val="Hyperlink"/>
            <w:noProof/>
          </w:rPr>
          <w:t>Option 2:</w:t>
        </w:r>
      </w:hyperlink>
    </w:p>
    <w:p w14:paraId="0A3AD457" w14:textId="77777777" w:rsidR="00A96488" w:rsidRDefault="00A96488" w:rsidP="006624BA">
      <w:pPr>
        <w:pStyle w:val="TableofFigures"/>
        <w:tabs>
          <w:tab w:val="left" w:pos="2070"/>
          <w:tab w:val="right" w:leader="dot" w:pos="9629"/>
        </w:tabs>
        <w:ind w:firstLine="9"/>
        <w:rPr>
          <w:rFonts w:asciiTheme="minorHAnsi" w:eastAsiaTheme="minorEastAsia" w:hAnsiTheme="minorHAnsi"/>
          <w:b w:val="0"/>
          <w:noProof/>
          <w:sz w:val="22"/>
          <w:lang w:eastAsia="en-US"/>
        </w:rPr>
      </w:pPr>
      <w:hyperlink w:anchor="_Toc79049353" w:history="1">
        <w:r w:rsidRPr="00E142BA">
          <w:rPr>
            <w:rStyle w:val="Hyperlink"/>
            <w:rFonts w:ascii="Symbol" w:hAnsi="Symbol"/>
            <w:noProof/>
          </w:rPr>
          <w:t></w:t>
        </w:r>
        <w:r>
          <w:rPr>
            <w:rFonts w:asciiTheme="minorHAnsi" w:eastAsiaTheme="minorEastAsia" w:hAnsiTheme="minorHAnsi"/>
            <w:b w:val="0"/>
            <w:noProof/>
            <w:sz w:val="22"/>
            <w:lang w:eastAsia="en-US"/>
          </w:rPr>
          <w:tab/>
        </w:r>
        <w:r w:rsidRPr="00E142BA">
          <w:rPr>
            <w:rStyle w:val="Hyperlink"/>
            <w:noProof/>
          </w:rPr>
          <w:t>A separate initial DL BWP for RedCap UEs can be configured/defined and used during initial access.</w:t>
        </w:r>
      </w:hyperlink>
    </w:p>
    <w:p w14:paraId="0DF0C01C" w14:textId="77777777" w:rsidR="00A96488" w:rsidRDefault="00A96488" w:rsidP="006624BA">
      <w:pPr>
        <w:pStyle w:val="TableofFigures"/>
        <w:tabs>
          <w:tab w:val="left" w:pos="2070"/>
          <w:tab w:val="right" w:leader="dot" w:pos="9629"/>
        </w:tabs>
        <w:ind w:firstLine="9"/>
        <w:rPr>
          <w:rFonts w:asciiTheme="minorHAnsi" w:eastAsiaTheme="minorEastAsia" w:hAnsiTheme="minorHAnsi"/>
          <w:b w:val="0"/>
          <w:noProof/>
          <w:sz w:val="22"/>
          <w:lang w:eastAsia="en-US"/>
        </w:rPr>
      </w:pPr>
      <w:hyperlink w:anchor="_Toc79049354" w:history="1">
        <w:r w:rsidRPr="00E142BA">
          <w:rPr>
            <w:rStyle w:val="Hyperlink"/>
            <w:rFonts w:ascii="Symbol" w:hAnsi="Symbol"/>
            <w:noProof/>
          </w:rPr>
          <w:t></w:t>
        </w:r>
        <w:r>
          <w:rPr>
            <w:rFonts w:asciiTheme="minorHAnsi" w:eastAsiaTheme="minorEastAsia" w:hAnsiTheme="minorHAnsi"/>
            <w:b w:val="0"/>
            <w:noProof/>
            <w:sz w:val="22"/>
            <w:lang w:eastAsia="en-US"/>
          </w:rPr>
          <w:tab/>
        </w:r>
        <w:r w:rsidRPr="00E142BA">
          <w:rPr>
            <w:rStyle w:val="Hyperlink"/>
            <w:noProof/>
          </w:rPr>
          <w:t>Require RedCap UEs to support FG 6-1a (“BWP operation without restriction on BW of BWP(s)” as described in TR 38.822).</w:t>
        </w:r>
      </w:hyperlink>
    </w:p>
    <w:p w14:paraId="6806B5FB" w14:textId="77777777" w:rsidR="00A96488" w:rsidRDefault="00A96488" w:rsidP="006624BA">
      <w:pPr>
        <w:pStyle w:val="TableofFigures"/>
        <w:tabs>
          <w:tab w:val="left" w:pos="2070"/>
          <w:tab w:val="right" w:leader="dot" w:pos="9629"/>
        </w:tabs>
        <w:ind w:firstLine="9"/>
        <w:rPr>
          <w:rFonts w:asciiTheme="minorHAnsi" w:eastAsiaTheme="minorEastAsia" w:hAnsiTheme="minorHAnsi"/>
          <w:b w:val="0"/>
          <w:noProof/>
          <w:sz w:val="22"/>
          <w:lang w:eastAsia="en-US"/>
        </w:rPr>
      </w:pPr>
      <w:hyperlink w:anchor="_Toc79049355" w:history="1">
        <w:r w:rsidRPr="00E142BA">
          <w:rPr>
            <w:rStyle w:val="Hyperlink"/>
            <w:rFonts w:ascii="Symbol" w:hAnsi="Symbol"/>
            <w:noProof/>
          </w:rPr>
          <w:t></w:t>
        </w:r>
        <w:r>
          <w:rPr>
            <w:rFonts w:asciiTheme="minorHAnsi" w:eastAsiaTheme="minorEastAsia" w:hAnsiTheme="minorHAnsi"/>
            <w:b w:val="0"/>
            <w:noProof/>
            <w:sz w:val="22"/>
            <w:lang w:eastAsia="en-US"/>
          </w:rPr>
          <w:tab/>
        </w:r>
        <w:r w:rsidRPr="00E142BA">
          <w:rPr>
            <w:rStyle w:val="Hyperlink"/>
            <w:noProof/>
          </w:rPr>
          <w:t>Support PUCCH frequency hopping for Msg4 HARQ acknowledgement to be disabled.</w:t>
        </w:r>
      </w:hyperlink>
    </w:p>
    <w:p w14:paraId="58ACA235" w14:textId="34C60542" w:rsidR="00C01F33" w:rsidRPr="00A85C11" w:rsidRDefault="006E1C82" w:rsidP="00A85C11">
      <w:pPr>
        <w:pStyle w:val="BodyText"/>
        <w:rPr>
          <w:b/>
          <w:bCs/>
        </w:rPr>
      </w:pPr>
      <w:r>
        <w:rPr>
          <w:b/>
          <w:bCs/>
        </w:rPr>
        <w:fldChar w:fldCharType="end"/>
      </w:r>
      <w:bookmarkStart w:id="38" w:name="_In-sequence_SDU_delivery"/>
      <w:bookmarkEnd w:id="38"/>
    </w:p>
    <w:p w14:paraId="71D79D99" w14:textId="77777777" w:rsidR="00F507D1" w:rsidRPr="00CE0424" w:rsidRDefault="00F507D1" w:rsidP="00CE0424">
      <w:pPr>
        <w:pStyle w:val="Heading1"/>
      </w:pPr>
      <w:r w:rsidRPr="00CE0424">
        <w:t>References</w:t>
      </w:r>
    </w:p>
    <w:bookmarkStart w:id="39" w:name="_Ref71124004"/>
    <w:bookmarkStart w:id="40" w:name="_Ref65144387"/>
    <w:bookmarkStart w:id="41" w:name="_Ref70682924"/>
    <w:bookmarkStart w:id="42" w:name="_Ref174151459"/>
    <w:bookmarkStart w:id="43" w:name="_Ref189809556"/>
    <w:p w14:paraId="524C0CDD" w14:textId="4A966655" w:rsidR="00BC27B7" w:rsidRPr="0004290A" w:rsidRDefault="00BC27B7" w:rsidP="00BC27B7">
      <w:pPr>
        <w:pStyle w:val="Reference"/>
      </w:pPr>
      <w:r>
        <w:fldChar w:fldCharType="begin"/>
      </w:r>
      <w:r>
        <w:instrText xml:space="preserve"> HYPERLINK "https://www.3gpp.org/ftp/tsg_ran/WG1_RL1/TSGR1_105-e/Docs/R1-2104184.zip" </w:instrText>
      </w:r>
      <w:r>
        <w:fldChar w:fldCharType="separate"/>
      </w:r>
      <w:r w:rsidRPr="00E30D0E">
        <w:rPr>
          <w:rStyle w:val="Hyperlink"/>
        </w:rPr>
        <w:t>R1-2104184</w:t>
      </w:r>
      <w:r>
        <w:fldChar w:fldCharType="end"/>
      </w:r>
      <w:r>
        <w:t>, “</w:t>
      </w:r>
      <w:r w:rsidRPr="00522627">
        <w:t>Ensuring coexistence between RedCap and non-RedCap UEs</w:t>
      </w:r>
      <w:r>
        <w:t>”,</w:t>
      </w:r>
      <w:r w:rsidRPr="00C038E7">
        <w:t xml:space="preserve"> Ericsson, </w:t>
      </w:r>
      <w:r w:rsidRPr="00705997">
        <w:t xml:space="preserve">Deutsche Telekom, </w:t>
      </w:r>
      <w:r w:rsidRPr="003875E0">
        <w:t>NTT DOCOMO, Softbank, Telecom Italia, Telstra, Verizon Wireless</w:t>
      </w:r>
      <w:r>
        <w:t>, Vodafone</w:t>
      </w:r>
      <w:r w:rsidRPr="00A55875">
        <w:t xml:space="preserve">, </w:t>
      </w:r>
      <w:r w:rsidRPr="00C038E7">
        <w:t>3GPP TSG RAN1 #105e, May 2021.</w:t>
      </w:r>
      <w:bookmarkEnd w:id="39"/>
    </w:p>
    <w:p w14:paraId="22E88249" w14:textId="34A60180" w:rsidR="00A33D3D" w:rsidRDefault="00A33D3D" w:rsidP="00A33D3D">
      <w:pPr>
        <w:pStyle w:val="Reference"/>
      </w:pPr>
      <w:hyperlink r:id="rId16" w:history="1">
        <w:r>
          <w:rPr>
            <w:rStyle w:val="Hyperlink"/>
          </w:rPr>
          <w:t>R1-2106213</w:t>
        </w:r>
      </w:hyperlink>
      <w:r>
        <w:t>, “</w:t>
      </w:r>
      <w:r w:rsidRPr="009237DC">
        <w:t>RAN1 agreements for Rel-17 NR RedCap</w:t>
      </w:r>
      <w:r>
        <w:t xml:space="preserve">”, </w:t>
      </w:r>
      <w:r w:rsidRPr="009237DC">
        <w:t>Rapporteur (Ericsson), 3GPP TSG RAN</w:t>
      </w:r>
      <w:r>
        <w:t>1</w:t>
      </w:r>
      <w:r w:rsidRPr="009237DC">
        <w:t xml:space="preserve"> #</w:t>
      </w:r>
      <w:r w:rsidR="00D3652F">
        <w:t>105</w:t>
      </w:r>
      <w:r>
        <w:t>-</w:t>
      </w:r>
      <w:r w:rsidRPr="009237DC">
        <w:t xml:space="preserve">e, </w:t>
      </w:r>
      <w:r w:rsidR="00D3652F">
        <w:t>May</w:t>
      </w:r>
      <w:r w:rsidRPr="009237DC">
        <w:t xml:space="preserve"> 202</w:t>
      </w:r>
      <w:r>
        <w:t>1.</w:t>
      </w:r>
      <w:bookmarkEnd w:id="40"/>
    </w:p>
    <w:bookmarkStart w:id="44" w:name="_Ref75523317"/>
    <w:p w14:paraId="354586C6" w14:textId="10740ECC" w:rsidR="0004290A" w:rsidRDefault="00234838" w:rsidP="0004290A">
      <w:pPr>
        <w:pStyle w:val="Reference"/>
      </w:pPr>
      <w:r>
        <w:fldChar w:fldCharType="begin"/>
      </w:r>
      <w:r w:rsidR="0023044E">
        <w:instrText>HYPERLINK "https://www.3gpp.org/ftp/TSG_RAN/TSG_RAN/TSGR_92e/Docs/RP-211574.zip"</w:instrText>
      </w:r>
      <w:r>
        <w:fldChar w:fldCharType="separate"/>
      </w:r>
      <w:r w:rsidR="0023044E">
        <w:rPr>
          <w:rStyle w:val="Hyperlink"/>
        </w:rPr>
        <w:t>RP-211574</w:t>
      </w:r>
      <w:r>
        <w:fldChar w:fldCharType="end"/>
      </w:r>
      <w:r w:rsidR="0004290A" w:rsidRPr="0004290A">
        <w:t>, “</w:t>
      </w:r>
      <w:r w:rsidRPr="00234838">
        <w:t>Revised WID on support of reduced capability NR</w:t>
      </w:r>
      <w:r>
        <w:t xml:space="preserve"> devices</w:t>
      </w:r>
      <w:r w:rsidR="0004290A" w:rsidRPr="0004290A">
        <w:t>”, Ericsson, 3GPP TSG RAN #9</w:t>
      </w:r>
      <w:r>
        <w:t>2</w:t>
      </w:r>
      <w:r w:rsidR="0004290A" w:rsidRPr="0004290A">
        <w:t xml:space="preserve">e, </w:t>
      </w:r>
      <w:r>
        <w:t>June</w:t>
      </w:r>
      <w:r w:rsidR="0004290A" w:rsidRPr="0004290A">
        <w:t xml:space="preserve"> 2021.</w:t>
      </w:r>
      <w:bookmarkEnd w:id="41"/>
      <w:bookmarkEnd w:id="44"/>
      <w:r w:rsidR="0004290A" w:rsidRPr="0004290A">
        <w:t xml:space="preserve"> </w:t>
      </w:r>
    </w:p>
    <w:bookmarkStart w:id="45" w:name="_Ref70682954"/>
    <w:bookmarkStart w:id="46" w:name="_Ref76972871"/>
    <w:p w14:paraId="59DA46F1" w14:textId="737FA4CA" w:rsidR="0004290A" w:rsidRDefault="0023044E" w:rsidP="0004290A">
      <w:pPr>
        <w:pStyle w:val="Reference"/>
      </w:pPr>
      <w:r>
        <w:fldChar w:fldCharType="begin"/>
      </w:r>
      <w:r>
        <w:instrText xml:space="preserve"> HYPERLINK "https://www.3gpp.org/ftp/tsg_ran/WG1_RL1/TSGR1_106-e/Docs/R1-2106563.zip" </w:instrText>
      </w:r>
      <w:r>
        <w:fldChar w:fldCharType="separate"/>
      </w:r>
      <w:r w:rsidRPr="0023044E">
        <w:rPr>
          <w:rStyle w:val="Hyperlink"/>
        </w:rPr>
        <w:t>R1-2106563</w:t>
      </w:r>
      <w:r>
        <w:fldChar w:fldCharType="end"/>
      </w:r>
      <w:r w:rsidR="0004290A" w:rsidRPr="0004290A">
        <w:t>, “Reduced maximum UE bandwidth for RedCap”, Ericsson, 3GPP TSG RAN1 #10</w:t>
      </w:r>
      <w:r w:rsidR="004611A5">
        <w:t>6</w:t>
      </w:r>
      <w:r w:rsidR="0004290A" w:rsidRPr="0004290A">
        <w:t xml:space="preserve">e, </w:t>
      </w:r>
      <w:r w:rsidR="004611A5">
        <w:t>Aug.</w:t>
      </w:r>
      <w:r w:rsidR="0004290A" w:rsidRPr="0004290A">
        <w:t xml:space="preserve"> 2021.</w:t>
      </w:r>
      <w:bookmarkEnd w:id="45"/>
      <w:bookmarkEnd w:id="46"/>
    </w:p>
    <w:bookmarkStart w:id="47" w:name="_Ref70683150"/>
    <w:p w14:paraId="776BD41A" w14:textId="23D70879" w:rsidR="0004290A" w:rsidRPr="0004290A" w:rsidRDefault="002352AB" w:rsidP="0004290A">
      <w:pPr>
        <w:pStyle w:val="Reference"/>
      </w:pPr>
      <w:r>
        <w:fldChar w:fldCharType="begin"/>
      </w:r>
      <w:r>
        <w:instrText xml:space="preserve"> HYPERLINK "https://www.3gpp.org/ftp/Specs/archive/38_series/38.840/38840-g00.zip" </w:instrText>
      </w:r>
      <w:r>
        <w:fldChar w:fldCharType="separate"/>
      </w:r>
      <w:r w:rsidR="0004290A" w:rsidRPr="002352AB">
        <w:rPr>
          <w:rStyle w:val="Hyperlink"/>
        </w:rPr>
        <w:t>TR 38.840 V16.0.0</w:t>
      </w:r>
      <w:r>
        <w:fldChar w:fldCharType="end"/>
      </w:r>
      <w:r w:rsidR="0004290A" w:rsidRPr="0004290A">
        <w:t>, “Study on User Equipment (UE) power saving in NR (Release 1</w:t>
      </w:r>
      <w:r w:rsidR="0004290A">
        <w:t>6</w:t>
      </w:r>
      <w:r w:rsidR="0004290A" w:rsidRPr="0004290A">
        <w:t xml:space="preserve">)”, </w:t>
      </w:r>
      <w:r w:rsidR="0004290A">
        <w:t>June</w:t>
      </w:r>
      <w:r w:rsidR="0004290A" w:rsidRPr="0004290A">
        <w:t xml:space="preserve"> 2021.</w:t>
      </w:r>
      <w:bookmarkEnd w:id="47"/>
    </w:p>
    <w:bookmarkEnd w:id="42"/>
    <w:bookmarkEnd w:id="43"/>
    <w:p w14:paraId="715CA09B" w14:textId="77777777" w:rsidR="003A7EF3" w:rsidRPr="00CE0424" w:rsidRDefault="003A7EF3" w:rsidP="00CE0424">
      <w:pPr>
        <w:pStyle w:val="BodyText"/>
      </w:pPr>
    </w:p>
    <w:sectPr w:rsidR="003A7EF3" w:rsidRPr="00CE0424" w:rsidSect="00C473A5">
      <w:headerReference w:type="even" r:id="rId17"/>
      <w:footerReference w:type="default" r:id="rId18"/>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A92314" w14:textId="77777777" w:rsidR="003D23A0" w:rsidRDefault="003D23A0">
      <w:r>
        <w:separator/>
      </w:r>
    </w:p>
  </w:endnote>
  <w:endnote w:type="continuationSeparator" w:id="0">
    <w:p w14:paraId="61A5EB35" w14:textId="77777777" w:rsidR="003D23A0" w:rsidRDefault="003D23A0">
      <w:r>
        <w:continuationSeparator/>
      </w:r>
    </w:p>
  </w:endnote>
  <w:endnote w:type="continuationNotice" w:id="1">
    <w:p w14:paraId="098429DD" w14:textId="77777777" w:rsidR="003D23A0" w:rsidRDefault="003D23A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3E3324" w14:textId="77777777" w:rsidR="003D23A0" w:rsidRDefault="003D23A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D6A335" w14:textId="77777777" w:rsidR="003D23A0" w:rsidRDefault="003D23A0">
      <w:r>
        <w:separator/>
      </w:r>
    </w:p>
  </w:footnote>
  <w:footnote w:type="continuationSeparator" w:id="0">
    <w:p w14:paraId="704C50FD" w14:textId="77777777" w:rsidR="003D23A0" w:rsidRDefault="003D23A0">
      <w:r>
        <w:continuationSeparator/>
      </w:r>
    </w:p>
  </w:footnote>
  <w:footnote w:type="continuationNotice" w:id="1">
    <w:p w14:paraId="3D8F048F" w14:textId="77777777" w:rsidR="003D23A0" w:rsidRDefault="003D23A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9CAA3A" w14:textId="77777777" w:rsidR="003D23A0" w:rsidRDefault="003D23A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4C2F2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B2096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A600F6A"/>
    <w:multiLevelType w:val="hybridMultilevel"/>
    <w:tmpl w:val="97562E4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2EBD399F"/>
    <w:multiLevelType w:val="hybridMultilevel"/>
    <w:tmpl w:val="A5BEE43C"/>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CFA7889"/>
    <w:multiLevelType w:val="hybridMultilevel"/>
    <w:tmpl w:val="D4DCBE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0435A29"/>
    <w:multiLevelType w:val="hybridMultilevel"/>
    <w:tmpl w:val="51B633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5E7D2334"/>
    <w:multiLevelType w:val="hybridMultilevel"/>
    <w:tmpl w:val="501E0D32"/>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26" w15:restartNumberingAfterBreak="0">
    <w:nsid w:val="60880F79"/>
    <w:multiLevelType w:val="hybridMultilevel"/>
    <w:tmpl w:val="2DC68068"/>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27" w15:restartNumberingAfterBreak="0">
    <w:nsid w:val="6181586A"/>
    <w:multiLevelType w:val="hybridMultilevel"/>
    <w:tmpl w:val="FF0054D8"/>
    <w:lvl w:ilvl="0" w:tplc="C9460A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941278A"/>
    <w:multiLevelType w:val="hybridMultilevel"/>
    <w:tmpl w:val="6642900C"/>
    <w:lvl w:ilvl="0" w:tplc="95C07FD4">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1" w15:restartNumberingAfterBreak="0">
    <w:nsid w:val="75632C2F"/>
    <w:multiLevelType w:val="hybridMultilevel"/>
    <w:tmpl w:val="E0443AC0"/>
    <w:lvl w:ilvl="0" w:tplc="299481DC">
      <w:start w:val="1"/>
      <w:numFmt w:val="bullet"/>
      <w:lvlText w:val=""/>
      <w:lvlJc w:val="left"/>
      <w:pPr>
        <w:ind w:left="720" w:hanging="360"/>
      </w:pPr>
      <w:rPr>
        <w:rFonts w:ascii="Symbol" w:hAnsi="Symbol" w:hint="default"/>
        <w:sz w:val="20"/>
        <w:szCs w:val="20"/>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7A086A89"/>
    <w:multiLevelType w:val="hybridMultilevel"/>
    <w:tmpl w:val="D0306B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9"/>
  </w:num>
  <w:num w:numId="3">
    <w:abstractNumId w:val="14"/>
  </w:num>
  <w:num w:numId="4">
    <w:abstractNumId w:val="15"/>
  </w:num>
  <w:num w:numId="5">
    <w:abstractNumId w:val="10"/>
  </w:num>
  <w:num w:numId="6">
    <w:abstractNumId w:val="18"/>
  </w:num>
  <w:num w:numId="7">
    <w:abstractNumId w:val="23"/>
  </w:num>
  <w:num w:numId="8">
    <w:abstractNumId w:val="12"/>
  </w:num>
  <w:num w:numId="9">
    <w:abstractNumId w:val="8"/>
  </w:num>
  <w:num w:numId="10">
    <w:abstractNumId w:val="2"/>
  </w:num>
  <w:num w:numId="11">
    <w:abstractNumId w:val="1"/>
  </w:num>
  <w:num w:numId="12">
    <w:abstractNumId w:val="0"/>
  </w:num>
  <w:num w:numId="13">
    <w:abstractNumId w:val="21"/>
  </w:num>
  <w:num w:numId="14">
    <w:abstractNumId w:val="22"/>
  </w:num>
  <w:num w:numId="15">
    <w:abstractNumId w:val="17"/>
  </w:num>
  <w:num w:numId="16">
    <w:abstractNumId w:val="24"/>
  </w:num>
  <w:num w:numId="17">
    <w:abstractNumId w:val="6"/>
  </w:num>
  <w:num w:numId="18">
    <w:abstractNumId w:val="7"/>
  </w:num>
  <w:num w:numId="19">
    <w:abstractNumId w:val="4"/>
  </w:num>
  <w:num w:numId="20">
    <w:abstractNumId w:val="30"/>
  </w:num>
  <w:num w:numId="21">
    <w:abstractNumId w:val="13"/>
  </w:num>
  <w:num w:numId="22">
    <w:abstractNumId w:val="29"/>
  </w:num>
  <w:num w:numId="23">
    <w:abstractNumId w:val="27"/>
  </w:num>
  <w:num w:numId="24">
    <w:abstractNumId w:val="32"/>
  </w:num>
  <w:num w:numId="25">
    <w:abstractNumId w:val="25"/>
  </w:num>
  <w:num w:numId="26">
    <w:abstractNumId w:val="31"/>
  </w:num>
  <w:num w:numId="27">
    <w:abstractNumId w:val="11"/>
  </w:num>
  <w:num w:numId="28">
    <w:abstractNumId w:val="5"/>
  </w:num>
  <w:num w:numId="29">
    <w:abstractNumId w:val="20"/>
  </w:num>
  <w:num w:numId="30">
    <w:abstractNumId w:val="9"/>
  </w:num>
  <w:num w:numId="31">
    <w:abstractNumId w:val="16"/>
  </w:num>
  <w:num w:numId="32">
    <w:abstractNumId w:val="26"/>
  </w:num>
  <w:num w:numId="33">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564C"/>
    <w:rsid w:val="00006446"/>
    <w:rsid w:val="00006896"/>
    <w:rsid w:val="00007CDC"/>
    <w:rsid w:val="00010247"/>
    <w:rsid w:val="0001121E"/>
    <w:rsid w:val="00011B28"/>
    <w:rsid w:val="0001410B"/>
    <w:rsid w:val="00014A95"/>
    <w:rsid w:val="00015C68"/>
    <w:rsid w:val="00015D15"/>
    <w:rsid w:val="00016CBC"/>
    <w:rsid w:val="000203C5"/>
    <w:rsid w:val="00020E3C"/>
    <w:rsid w:val="0002236D"/>
    <w:rsid w:val="00022AD0"/>
    <w:rsid w:val="00022B61"/>
    <w:rsid w:val="0002564D"/>
    <w:rsid w:val="00025ECA"/>
    <w:rsid w:val="000325B8"/>
    <w:rsid w:val="00034943"/>
    <w:rsid w:val="00034C15"/>
    <w:rsid w:val="000366D2"/>
    <w:rsid w:val="00036BA1"/>
    <w:rsid w:val="000422E2"/>
    <w:rsid w:val="0004290A"/>
    <w:rsid w:val="00042F22"/>
    <w:rsid w:val="00043990"/>
    <w:rsid w:val="000444EF"/>
    <w:rsid w:val="00050039"/>
    <w:rsid w:val="00051CF3"/>
    <w:rsid w:val="00052A07"/>
    <w:rsid w:val="000534E3"/>
    <w:rsid w:val="00054771"/>
    <w:rsid w:val="0005606A"/>
    <w:rsid w:val="00057117"/>
    <w:rsid w:val="000616E7"/>
    <w:rsid w:val="0006487E"/>
    <w:rsid w:val="00065E1A"/>
    <w:rsid w:val="000705E7"/>
    <w:rsid w:val="00070E2A"/>
    <w:rsid w:val="00077E5F"/>
    <w:rsid w:val="0008036A"/>
    <w:rsid w:val="00081AE6"/>
    <w:rsid w:val="000828CD"/>
    <w:rsid w:val="00085549"/>
    <w:rsid w:val="000855EB"/>
    <w:rsid w:val="00085B52"/>
    <w:rsid w:val="000866F2"/>
    <w:rsid w:val="0009009F"/>
    <w:rsid w:val="0009128C"/>
    <w:rsid w:val="00091557"/>
    <w:rsid w:val="000924C1"/>
    <w:rsid w:val="000924F0"/>
    <w:rsid w:val="00093474"/>
    <w:rsid w:val="0009510F"/>
    <w:rsid w:val="000A05E8"/>
    <w:rsid w:val="000A0BC7"/>
    <w:rsid w:val="000A1B7B"/>
    <w:rsid w:val="000A426F"/>
    <w:rsid w:val="000A56F2"/>
    <w:rsid w:val="000A7FBB"/>
    <w:rsid w:val="000B0B2B"/>
    <w:rsid w:val="000B2719"/>
    <w:rsid w:val="000B3A8F"/>
    <w:rsid w:val="000B4AB9"/>
    <w:rsid w:val="000B58C3"/>
    <w:rsid w:val="000B61E9"/>
    <w:rsid w:val="000B6227"/>
    <w:rsid w:val="000C0E84"/>
    <w:rsid w:val="000C165A"/>
    <w:rsid w:val="000C2E19"/>
    <w:rsid w:val="000C6B61"/>
    <w:rsid w:val="000C7740"/>
    <w:rsid w:val="000D014F"/>
    <w:rsid w:val="000D0D07"/>
    <w:rsid w:val="000D0FA8"/>
    <w:rsid w:val="000D2934"/>
    <w:rsid w:val="000D4797"/>
    <w:rsid w:val="000D55E2"/>
    <w:rsid w:val="000D633F"/>
    <w:rsid w:val="000E0527"/>
    <w:rsid w:val="000E1E92"/>
    <w:rsid w:val="000F06D6"/>
    <w:rsid w:val="000F09B8"/>
    <w:rsid w:val="000F0EB1"/>
    <w:rsid w:val="000F1106"/>
    <w:rsid w:val="000F3BE9"/>
    <w:rsid w:val="000F3F6C"/>
    <w:rsid w:val="000F6DF3"/>
    <w:rsid w:val="001005FF"/>
    <w:rsid w:val="001009BC"/>
    <w:rsid w:val="00102BA5"/>
    <w:rsid w:val="001062FB"/>
    <w:rsid w:val="001063E6"/>
    <w:rsid w:val="00106525"/>
    <w:rsid w:val="00112470"/>
    <w:rsid w:val="00113CF4"/>
    <w:rsid w:val="001152DC"/>
    <w:rsid w:val="001153EA"/>
    <w:rsid w:val="00115643"/>
    <w:rsid w:val="00115FCE"/>
    <w:rsid w:val="00116765"/>
    <w:rsid w:val="00120478"/>
    <w:rsid w:val="001219F5"/>
    <w:rsid w:val="00121A20"/>
    <w:rsid w:val="0012377F"/>
    <w:rsid w:val="00124314"/>
    <w:rsid w:val="00126B4A"/>
    <w:rsid w:val="001317F6"/>
    <w:rsid w:val="00132FD0"/>
    <w:rsid w:val="001344C0"/>
    <w:rsid w:val="00134515"/>
    <w:rsid w:val="001346FA"/>
    <w:rsid w:val="00135252"/>
    <w:rsid w:val="00137AB5"/>
    <w:rsid w:val="00137F0B"/>
    <w:rsid w:val="00143F30"/>
    <w:rsid w:val="00151E23"/>
    <w:rsid w:val="001520FF"/>
    <w:rsid w:val="001526E0"/>
    <w:rsid w:val="00152CE6"/>
    <w:rsid w:val="001551B5"/>
    <w:rsid w:val="0015724B"/>
    <w:rsid w:val="00164A60"/>
    <w:rsid w:val="00165309"/>
    <w:rsid w:val="001653F1"/>
    <w:rsid w:val="001659C1"/>
    <w:rsid w:val="00173A8E"/>
    <w:rsid w:val="0017502C"/>
    <w:rsid w:val="00181323"/>
    <w:rsid w:val="0018143F"/>
    <w:rsid w:val="00181FF8"/>
    <w:rsid w:val="0018334B"/>
    <w:rsid w:val="0018702D"/>
    <w:rsid w:val="00190AC1"/>
    <w:rsid w:val="0019341A"/>
    <w:rsid w:val="0019520A"/>
    <w:rsid w:val="00197DF9"/>
    <w:rsid w:val="001A1987"/>
    <w:rsid w:val="001A2564"/>
    <w:rsid w:val="001A3724"/>
    <w:rsid w:val="001A6173"/>
    <w:rsid w:val="001A6CBA"/>
    <w:rsid w:val="001B0D97"/>
    <w:rsid w:val="001B43D2"/>
    <w:rsid w:val="001B5A5D"/>
    <w:rsid w:val="001C1CE5"/>
    <w:rsid w:val="001C3D2A"/>
    <w:rsid w:val="001C3E11"/>
    <w:rsid w:val="001C5B27"/>
    <w:rsid w:val="001C6B99"/>
    <w:rsid w:val="001C7E80"/>
    <w:rsid w:val="001D0289"/>
    <w:rsid w:val="001D122F"/>
    <w:rsid w:val="001D223D"/>
    <w:rsid w:val="001D51BA"/>
    <w:rsid w:val="001D53E7"/>
    <w:rsid w:val="001D6342"/>
    <w:rsid w:val="001D6D53"/>
    <w:rsid w:val="001E3528"/>
    <w:rsid w:val="001E38D5"/>
    <w:rsid w:val="001E58E2"/>
    <w:rsid w:val="001E7AED"/>
    <w:rsid w:val="001F2C02"/>
    <w:rsid w:val="001F3916"/>
    <w:rsid w:val="001F4741"/>
    <w:rsid w:val="001F54C5"/>
    <w:rsid w:val="001F662C"/>
    <w:rsid w:val="001F7074"/>
    <w:rsid w:val="00200490"/>
    <w:rsid w:val="00201F3A"/>
    <w:rsid w:val="00202F56"/>
    <w:rsid w:val="00203F96"/>
    <w:rsid w:val="002069B2"/>
    <w:rsid w:val="00207655"/>
    <w:rsid w:val="00207FA3"/>
    <w:rsid w:val="00214DA8"/>
    <w:rsid w:val="0021536A"/>
    <w:rsid w:val="00215423"/>
    <w:rsid w:val="00215708"/>
    <w:rsid w:val="002158FA"/>
    <w:rsid w:val="00216D6F"/>
    <w:rsid w:val="00216EF7"/>
    <w:rsid w:val="002202B1"/>
    <w:rsid w:val="00220600"/>
    <w:rsid w:val="002224DB"/>
    <w:rsid w:val="00223FCB"/>
    <w:rsid w:val="0022414B"/>
    <w:rsid w:val="00224814"/>
    <w:rsid w:val="002252C3"/>
    <w:rsid w:val="00225639"/>
    <w:rsid w:val="00225C54"/>
    <w:rsid w:val="0023044E"/>
    <w:rsid w:val="00230765"/>
    <w:rsid w:val="00230D18"/>
    <w:rsid w:val="002319E4"/>
    <w:rsid w:val="00234838"/>
    <w:rsid w:val="002352AB"/>
    <w:rsid w:val="00235632"/>
    <w:rsid w:val="00235673"/>
    <w:rsid w:val="00235872"/>
    <w:rsid w:val="00241559"/>
    <w:rsid w:val="0024271E"/>
    <w:rsid w:val="002435B3"/>
    <w:rsid w:val="00244A43"/>
    <w:rsid w:val="002458EB"/>
    <w:rsid w:val="002500C8"/>
    <w:rsid w:val="0025675F"/>
    <w:rsid w:val="00257543"/>
    <w:rsid w:val="002575C4"/>
    <w:rsid w:val="00261014"/>
    <w:rsid w:val="002617E7"/>
    <w:rsid w:val="00262D9E"/>
    <w:rsid w:val="00264228"/>
    <w:rsid w:val="00264334"/>
    <w:rsid w:val="0026473E"/>
    <w:rsid w:val="00266214"/>
    <w:rsid w:val="0026624F"/>
    <w:rsid w:val="00267C83"/>
    <w:rsid w:val="0027144F"/>
    <w:rsid w:val="00271813"/>
    <w:rsid w:val="00271F3A"/>
    <w:rsid w:val="00273278"/>
    <w:rsid w:val="002737F4"/>
    <w:rsid w:val="00275615"/>
    <w:rsid w:val="002805F5"/>
    <w:rsid w:val="00280751"/>
    <w:rsid w:val="00280A51"/>
    <w:rsid w:val="00281033"/>
    <w:rsid w:val="0028280A"/>
    <w:rsid w:val="002835D7"/>
    <w:rsid w:val="00286ACD"/>
    <w:rsid w:val="00287838"/>
    <w:rsid w:val="00287A3D"/>
    <w:rsid w:val="002907B5"/>
    <w:rsid w:val="00291DCE"/>
    <w:rsid w:val="00292EB7"/>
    <w:rsid w:val="00293AF3"/>
    <w:rsid w:val="00296227"/>
    <w:rsid w:val="002963E3"/>
    <w:rsid w:val="00296F44"/>
    <w:rsid w:val="0029777D"/>
    <w:rsid w:val="002A055E"/>
    <w:rsid w:val="002A1D4E"/>
    <w:rsid w:val="002A2869"/>
    <w:rsid w:val="002A52A7"/>
    <w:rsid w:val="002B1436"/>
    <w:rsid w:val="002B24D6"/>
    <w:rsid w:val="002B2B97"/>
    <w:rsid w:val="002B5910"/>
    <w:rsid w:val="002B71B0"/>
    <w:rsid w:val="002C41E6"/>
    <w:rsid w:val="002C5226"/>
    <w:rsid w:val="002D071A"/>
    <w:rsid w:val="002D0873"/>
    <w:rsid w:val="002D20F1"/>
    <w:rsid w:val="002D34B2"/>
    <w:rsid w:val="002D3CFF"/>
    <w:rsid w:val="002D48B0"/>
    <w:rsid w:val="002D5B37"/>
    <w:rsid w:val="002D7637"/>
    <w:rsid w:val="002E091C"/>
    <w:rsid w:val="002E0EEC"/>
    <w:rsid w:val="002E17F2"/>
    <w:rsid w:val="002E6241"/>
    <w:rsid w:val="002E7CAE"/>
    <w:rsid w:val="002F13E4"/>
    <w:rsid w:val="002F1957"/>
    <w:rsid w:val="002F25FE"/>
    <w:rsid w:val="002F2771"/>
    <w:rsid w:val="002F37A9"/>
    <w:rsid w:val="002F38E5"/>
    <w:rsid w:val="002F50DF"/>
    <w:rsid w:val="002F5107"/>
    <w:rsid w:val="002F5FCE"/>
    <w:rsid w:val="002F65FA"/>
    <w:rsid w:val="00301CE6"/>
    <w:rsid w:val="0030256B"/>
    <w:rsid w:val="003040CA"/>
    <w:rsid w:val="0030501F"/>
    <w:rsid w:val="00307BA1"/>
    <w:rsid w:val="00311702"/>
    <w:rsid w:val="00311E82"/>
    <w:rsid w:val="00313AD0"/>
    <w:rsid w:val="00313FD6"/>
    <w:rsid w:val="003143BD"/>
    <w:rsid w:val="00315363"/>
    <w:rsid w:val="003203ED"/>
    <w:rsid w:val="00322C9F"/>
    <w:rsid w:val="0032337A"/>
    <w:rsid w:val="00324D23"/>
    <w:rsid w:val="00326548"/>
    <w:rsid w:val="00331751"/>
    <w:rsid w:val="003338D1"/>
    <w:rsid w:val="00334579"/>
    <w:rsid w:val="00335858"/>
    <w:rsid w:val="00336BDA"/>
    <w:rsid w:val="00342BD7"/>
    <w:rsid w:val="00346DB5"/>
    <w:rsid w:val="003477B1"/>
    <w:rsid w:val="00350F6D"/>
    <w:rsid w:val="003521B9"/>
    <w:rsid w:val="00353B85"/>
    <w:rsid w:val="00355A0B"/>
    <w:rsid w:val="00357380"/>
    <w:rsid w:val="00357CB6"/>
    <w:rsid w:val="003602D9"/>
    <w:rsid w:val="003604CE"/>
    <w:rsid w:val="00364E91"/>
    <w:rsid w:val="00366CFC"/>
    <w:rsid w:val="00370E47"/>
    <w:rsid w:val="00373866"/>
    <w:rsid w:val="003742AC"/>
    <w:rsid w:val="00377CE1"/>
    <w:rsid w:val="00385AA5"/>
    <w:rsid w:val="00385BF0"/>
    <w:rsid w:val="00385FA4"/>
    <w:rsid w:val="0038742F"/>
    <w:rsid w:val="003939FF"/>
    <w:rsid w:val="0039792C"/>
    <w:rsid w:val="003A0533"/>
    <w:rsid w:val="003A2223"/>
    <w:rsid w:val="003A2A0F"/>
    <w:rsid w:val="003A45A1"/>
    <w:rsid w:val="003A5B0A"/>
    <w:rsid w:val="003A6BAC"/>
    <w:rsid w:val="003A70A4"/>
    <w:rsid w:val="003A71D5"/>
    <w:rsid w:val="003A7D09"/>
    <w:rsid w:val="003A7EF3"/>
    <w:rsid w:val="003B159C"/>
    <w:rsid w:val="003B1EFE"/>
    <w:rsid w:val="003B2E74"/>
    <w:rsid w:val="003B369F"/>
    <w:rsid w:val="003B36A3"/>
    <w:rsid w:val="003B64BB"/>
    <w:rsid w:val="003B7FE5"/>
    <w:rsid w:val="003C11C8"/>
    <w:rsid w:val="003C2702"/>
    <w:rsid w:val="003C3EC0"/>
    <w:rsid w:val="003C4963"/>
    <w:rsid w:val="003C74B4"/>
    <w:rsid w:val="003C7806"/>
    <w:rsid w:val="003D109F"/>
    <w:rsid w:val="003D23A0"/>
    <w:rsid w:val="003D2478"/>
    <w:rsid w:val="003D3C45"/>
    <w:rsid w:val="003D3F05"/>
    <w:rsid w:val="003D5B1F"/>
    <w:rsid w:val="003E15FA"/>
    <w:rsid w:val="003E4B18"/>
    <w:rsid w:val="003E55E4"/>
    <w:rsid w:val="003E66B2"/>
    <w:rsid w:val="003E6E92"/>
    <w:rsid w:val="003E74E3"/>
    <w:rsid w:val="003F05C7"/>
    <w:rsid w:val="003F13A5"/>
    <w:rsid w:val="003F2CD4"/>
    <w:rsid w:val="003F665A"/>
    <w:rsid w:val="003F6BBE"/>
    <w:rsid w:val="003F7E03"/>
    <w:rsid w:val="004000E8"/>
    <w:rsid w:val="00402E2B"/>
    <w:rsid w:val="00404029"/>
    <w:rsid w:val="00404BDC"/>
    <w:rsid w:val="00404EBE"/>
    <w:rsid w:val="0040512B"/>
    <w:rsid w:val="00405CA5"/>
    <w:rsid w:val="00407855"/>
    <w:rsid w:val="00407CD3"/>
    <w:rsid w:val="00410134"/>
    <w:rsid w:val="00410B72"/>
    <w:rsid w:val="00410F18"/>
    <w:rsid w:val="0041263E"/>
    <w:rsid w:val="00413AAC"/>
    <w:rsid w:val="00413E92"/>
    <w:rsid w:val="00415E3F"/>
    <w:rsid w:val="00421105"/>
    <w:rsid w:val="00422AA4"/>
    <w:rsid w:val="004242F4"/>
    <w:rsid w:val="00427248"/>
    <w:rsid w:val="00427FDA"/>
    <w:rsid w:val="00432886"/>
    <w:rsid w:val="00437447"/>
    <w:rsid w:val="00441A92"/>
    <w:rsid w:val="00441E94"/>
    <w:rsid w:val="004431DC"/>
    <w:rsid w:val="0044359B"/>
    <w:rsid w:val="00444F56"/>
    <w:rsid w:val="00446488"/>
    <w:rsid w:val="00447F29"/>
    <w:rsid w:val="004513D6"/>
    <w:rsid w:val="004517AA"/>
    <w:rsid w:val="00452CAC"/>
    <w:rsid w:val="00456186"/>
    <w:rsid w:val="004562D3"/>
    <w:rsid w:val="00457565"/>
    <w:rsid w:val="00457B71"/>
    <w:rsid w:val="004611A5"/>
    <w:rsid w:val="00464689"/>
    <w:rsid w:val="004669E2"/>
    <w:rsid w:val="00470C31"/>
    <w:rsid w:val="00471DE0"/>
    <w:rsid w:val="004734D0"/>
    <w:rsid w:val="004736C1"/>
    <w:rsid w:val="00473845"/>
    <w:rsid w:val="0047556B"/>
    <w:rsid w:val="00477768"/>
    <w:rsid w:val="00492BC5"/>
    <w:rsid w:val="004949CA"/>
    <w:rsid w:val="004964F1"/>
    <w:rsid w:val="004A16BC"/>
    <w:rsid w:val="004A2B94"/>
    <w:rsid w:val="004A425D"/>
    <w:rsid w:val="004B075B"/>
    <w:rsid w:val="004B0AB8"/>
    <w:rsid w:val="004B46EA"/>
    <w:rsid w:val="004B572C"/>
    <w:rsid w:val="004B6F6A"/>
    <w:rsid w:val="004B7085"/>
    <w:rsid w:val="004B7C0C"/>
    <w:rsid w:val="004C2CFE"/>
    <w:rsid w:val="004C3898"/>
    <w:rsid w:val="004C56F0"/>
    <w:rsid w:val="004C6059"/>
    <w:rsid w:val="004D164F"/>
    <w:rsid w:val="004D36B1"/>
    <w:rsid w:val="004D7EBD"/>
    <w:rsid w:val="004E2680"/>
    <w:rsid w:val="004E28F9"/>
    <w:rsid w:val="004E45BE"/>
    <w:rsid w:val="004E462E"/>
    <w:rsid w:val="004E56DC"/>
    <w:rsid w:val="004E76F4"/>
    <w:rsid w:val="004F0B4E"/>
    <w:rsid w:val="004F0B6C"/>
    <w:rsid w:val="004F2078"/>
    <w:rsid w:val="004F2518"/>
    <w:rsid w:val="004F3F66"/>
    <w:rsid w:val="004F4DA3"/>
    <w:rsid w:val="004F5AE3"/>
    <w:rsid w:val="00500E93"/>
    <w:rsid w:val="005030BA"/>
    <w:rsid w:val="0050407B"/>
    <w:rsid w:val="005061C2"/>
    <w:rsid w:val="00506557"/>
    <w:rsid w:val="0050677A"/>
    <w:rsid w:val="0051066B"/>
    <w:rsid w:val="005108D8"/>
    <w:rsid w:val="005116F9"/>
    <w:rsid w:val="005153A7"/>
    <w:rsid w:val="005219CF"/>
    <w:rsid w:val="0052266D"/>
    <w:rsid w:val="00522FA5"/>
    <w:rsid w:val="00526AAF"/>
    <w:rsid w:val="00527C96"/>
    <w:rsid w:val="00534B59"/>
    <w:rsid w:val="00536759"/>
    <w:rsid w:val="00537C62"/>
    <w:rsid w:val="00540AD1"/>
    <w:rsid w:val="005421E4"/>
    <w:rsid w:val="00545771"/>
    <w:rsid w:val="00546970"/>
    <w:rsid w:val="00554E19"/>
    <w:rsid w:val="0056121F"/>
    <w:rsid w:val="00562DA2"/>
    <w:rsid w:val="00564299"/>
    <w:rsid w:val="00572505"/>
    <w:rsid w:val="00574831"/>
    <w:rsid w:val="005749C5"/>
    <w:rsid w:val="005806AE"/>
    <w:rsid w:val="00581B03"/>
    <w:rsid w:val="00582809"/>
    <w:rsid w:val="00584B08"/>
    <w:rsid w:val="0058682A"/>
    <w:rsid w:val="0058798C"/>
    <w:rsid w:val="005900FA"/>
    <w:rsid w:val="005903F3"/>
    <w:rsid w:val="005909D5"/>
    <w:rsid w:val="00592EC6"/>
    <w:rsid w:val="005935A4"/>
    <w:rsid w:val="005948C2"/>
    <w:rsid w:val="00595DCA"/>
    <w:rsid w:val="0059682D"/>
    <w:rsid w:val="00596A71"/>
    <w:rsid w:val="0059779B"/>
    <w:rsid w:val="005A209A"/>
    <w:rsid w:val="005A4CF2"/>
    <w:rsid w:val="005A662D"/>
    <w:rsid w:val="005B1409"/>
    <w:rsid w:val="005B14DB"/>
    <w:rsid w:val="005B35D7"/>
    <w:rsid w:val="005B392A"/>
    <w:rsid w:val="005B3AA3"/>
    <w:rsid w:val="005B44C8"/>
    <w:rsid w:val="005B4584"/>
    <w:rsid w:val="005B55ED"/>
    <w:rsid w:val="005B6F83"/>
    <w:rsid w:val="005B753E"/>
    <w:rsid w:val="005C084B"/>
    <w:rsid w:val="005C2FE8"/>
    <w:rsid w:val="005C3D97"/>
    <w:rsid w:val="005C519B"/>
    <w:rsid w:val="005C58B0"/>
    <w:rsid w:val="005C74FB"/>
    <w:rsid w:val="005D0C88"/>
    <w:rsid w:val="005D1602"/>
    <w:rsid w:val="005D698F"/>
    <w:rsid w:val="005E385F"/>
    <w:rsid w:val="005E5B81"/>
    <w:rsid w:val="005F2CB1"/>
    <w:rsid w:val="005F3025"/>
    <w:rsid w:val="005F3ADC"/>
    <w:rsid w:val="005F4C93"/>
    <w:rsid w:val="005F5838"/>
    <w:rsid w:val="005F618C"/>
    <w:rsid w:val="005F6505"/>
    <w:rsid w:val="005F6B6A"/>
    <w:rsid w:val="005F70BD"/>
    <w:rsid w:val="005F7C64"/>
    <w:rsid w:val="00600574"/>
    <w:rsid w:val="0060283C"/>
    <w:rsid w:val="00602A96"/>
    <w:rsid w:val="006031D7"/>
    <w:rsid w:val="006049B5"/>
    <w:rsid w:val="00604A78"/>
    <w:rsid w:val="00604F14"/>
    <w:rsid w:val="0060624F"/>
    <w:rsid w:val="00611B83"/>
    <w:rsid w:val="00612D4C"/>
    <w:rsid w:val="00613257"/>
    <w:rsid w:val="0061410D"/>
    <w:rsid w:val="00620A71"/>
    <w:rsid w:val="00620D80"/>
    <w:rsid w:val="006234A6"/>
    <w:rsid w:val="00625A6D"/>
    <w:rsid w:val="006260F5"/>
    <w:rsid w:val="00630001"/>
    <w:rsid w:val="006311B3"/>
    <w:rsid w:val="0063284C"/>
    <w:rsid w:val="00636398"/>
    <w:rsid w:val="006368D3"/>
    <w:rsid w:val="006377EC"/>
    <w:rsid w:val="0064151F"/>
    <w:rsid w:val="00641533"/>
    <w:rsid w:val="00641F1B"/>
    <w:rsid w:val="0064208D"/>
    <w:rsid w:val="00643475"/>
    <w:rsid w:val="00643598"/>
    <w:rsid w:val="006438D0"/>
    <w:rsid w:val="0064396A"/>
    <w:rsid w:val="0064624E"/>
    <w:rsid w:val="00646321"/>
    <w:rsid w:val="006471E2"/>
    <w:rsid w:val="0064779F"/>
    <w:rsid w:val="00650AB9"/>
    <w:rsid w:val="00653199"/>
    <w:rsid w:val="00655733"/>
    <w:rsid w:val="00655ACD"/>
    <w:rsid w:val="00656A92"/>
    <w:rsid w:val="00656DDE"/>
    <w:rsid w:val="0066011D"/>
    <w:rsid w:val="006607C0"/>
    <w:rsid w:val="006613A6"/>
    <w:rsid w:val="006624BA"/>
    <w:rsid w:val="006625A1"/>
    <w:rsid w:val="006627A2"/>
    <w:rsid w:val="006632B8"/>
    <w:rsid w:val="006634E6"/>
    <w:rsid w:val="006655EE"/>
    <w:rsid w:val="00666A86"/>
    <w:rsid w:val="00667EE7"/>
    <w:rsid w:val="00670922"/>
    <w:rsid w:val="00670BE1"/>
    <w:rsid w:val="0067218F"/>
    <w:rsid w:val="006741F2"/>
    <w:rsid w:val="00674CC3"/>
    <w:rsid w:val="00675C72"/>
    <w:rsid w:val="006771F9"/>
    <w:rsid w:val="006776D7"/>
    <w:rsid w:val="00681003"/>
    <w:rsid w:val="006817C9"/>
    <w:rsid w:val="00682010"/>
    <w:rsid w:val="0068297D"/>
    <w:rsid w:val="00683ECE"/>
    <w:rsid w:val="006874C8"/>
    <w:rsid w:val="0069106C"/>
    <w:rsid w:val="006919A3"/>
    <w:rsid w:val="006928DB"/>
    <w:rsid w:val="00693191"/>
    <w:rsid w:val="00695FC2"/>
    <w:rsid w:val="00696949"/>
    <w:rsid w:val="00697052"/>
    <w:rsid w:val="006A46FB"/>
    <w:rsid w:val="006A5E28"/>
    <w:rsid w:val="006A697B"/>
    <w:rsid w:val="006A6ACE"/>
    <w:rsid w:val="006A77B8"/>
    <w:rsid w:val="006A7AFF"/>
    <w:rsid w:val="006B1816"/>
    <w:rsid w:val="006B2099"/>
    <w:rsid w:val="006B2E7D"/>
    <w:rsid w:val="006B2FC1"/>
    <w:rsid w:val="006B50CF"/>
    <w:rsid w:val="006B52D5"/>
    <w:rsid w:val="006C03B8"/>
    <w:rsid w:val="006C1F73"/>
    <w:rsid w:val="006C4096"/>
    <w:rsid w:val="006C4787"/>
    <w:rsid w:val="006C5EC9"/>
    <w:rsid w:val="006C6059"/>
    <w:rsid w:val="006C67D2"/>
    <w:rsid w:val="006C7522"/>
    <w:rsid w:val="006D22FB"/>
    <w:rsid w:val="006D3D78"/>
    <w:rsid w:val="006D54A3"/>
    <w:rsid w:val="006D57A7"/>
    <w:rsid w:val="006D6F08"/>
    <w:rsid w:val="006D7B6C"/>
    <w:rsid w:val="006D7C31"/>
    <w:rsid w:val="006E059E"/>
    <w:rsid w:val="006E062C"/>
    <w:rsid w:val="006E1C82"/>
    <w:rsid w:val="006E237B"/>
    <w:rsid w:val="006E28B7"/>
    <w:rsid w:val="006E2A9B"/>
    <w:rsid w:val="006E3310"/>
    <w:rsid w:val="006E4E39"/>
    <w:rsid w:val="006E565E"/>
    <w:rsid w:val="006E673D"/>
    <w:rsid w:val="006E6CB9"/>
    <w:rsid w:val="006E7D3B"/>
    <w:rsid w:val="006F1B70"/>
    <w:rsid w:val="006F3036"/>
    <w:rsid w:val="006F341D"/>
    <w:rsid w:val="006F355E"/>
    <w:rsid w:val="006F3CDE"/>
    <w:rsid w:val="006F58D4"/>
    <w:rsid w:val="006F6582"/>
    <w:rsid w:val="0070346E"/>
    <w:rsid w:val="00704B0E"/>
    <w:rsid w:val="00704EDB"/>
    <w:rsid w:val="00706101"/>
    <w:rsid w:val="00706F80"/>
    <w:rsid w:val="00707072"/>
    <w:rsid w:val="00707D61"/>
    <w:rsid w:val="00712287"/>
    <w:rsid w:val="00712772"/>
    <w:rsid w:val="007148D3"/>
    <w:rsid w:val="00715450"/>
    <w:rsid w:val="00715B9A"/>
    <w:rsid w:val="00721B32"/>
    <w:rsid w:val="0072359B"/>
    <w:rsid w:val="007257D0"/>
    <w:rsid w:val="007267D7"/>
    <w:rsid w:val="00726EA6"/>
    <w:rsid w:val="00727208"/>
    <w:rsid w:val="00727680"/>
    <w:rsid w:val="00727A22"/>
    <w:rsid w:val="007348B1"/>
    <w:rsid w:val="007362A6"/>
    <w:rsid w:val="00736D7D"/>
    <w:rsid w:val="00740E58"/>
    <w:rsid w:val="0074245B"/>
    <w:rsid w:val="00743F79"/>
    <w:rsid w:val="007445A0"/>
    <w:rsid w:val="0074524B"/>
    <w:rsid w:val="00747D8B"/>
    <w:rsid w:val="00751228"/>
    <w:rsid w:val="0075225D"/>
    <w:rsid w:val="007559EA"/>
    <w:rsid w:val="007571E1"/>
    <w:rsid w:val="007604B2"/>
    <w:rsid w:val="00762B78"/>
    <w:rsid w:val="007648A8"/>
    <w:rsid w:val="00765281"/>
    <w:rsid w:val="00766A04"/>
    <w:rsid w:val="00766BAD"/>
    <w:rsid w:val="00770D04"/>
    <w:rsid w:val="00771588"/>
    <w:rsid w:val="007729A2"/>
    <w:rsid w:val="007755F2"/>
    <w:rsid w:val="00776971"/>
    <w:rsid w:val="00776BEB"/>
    <w:rsid w:val="00780A80"/>
    <w:rsid w:val="0078138F"/>
    <w:rsid w:val="0078177E"/>
    <w:rsid w:val="0078285C"/>
    <w:rsid w:val="0078304C"/>
    <w:rsid w:val="00783673"/>
    <w:rsid w:val="00785490"/>
    <w:rsid w:val="00785C4C"/>
    <w:rsid w:val="00787B19"/>
    <w:rsid w:val="007925EA"/>
    <w:rsid w:val="00793CD8"/>
    <w:rsid w:val="00793CDB"/>
    <w:rsid w:val="00795C92"/>
    <w:rsid w:val="0079612A"/>
    <w:rsid w:val="00796231"/>
    <w:rsid w:val="007A0683"/>
    <w:rsid w:val="007A1CB3"/>
    <w:rsid w:val="007A2B9D"/>
    <w:rsid w:val="007A306F"/>
    <w:rsid w:val="007A43A6"/>
    <w:rsid w:val="007A44B6"/>
    <w:rsid w:val="007A52E6"/>
    <w:rsid w:val="007A58A6"/>
    <w:rsid w:val="007B2100"/>
    <w:rsid w:val="007B3D2D"/>
    <w:rsid w:val="007B50AE"/>
    <w:rsid w:val="007B51DF"/>
    <w:rsid w:val="007B6D85"/>
    <w:rsid w:val="007C05DD"/>
    <w:rsid w:val="007C0DE5"/>
    <w:rsid w:val="007C0FCD"/>
    <w:rsid w:val="007C1794"/>
    <w:rsid w:val="007C28F3"/>
    <w:rsid w:val="007C2DB3"/>
    <w:rsid w:val="007C36B5"/>
    <w:rsid w:val="007C3D18"/>
    <w:rsid w:val="007C60BF"/>
    <w:rsid w:val="007C6A07"/>
    <w:rsid w:val="007C6D79"/>
    <w:rsid w:val="007C75A1"/>
    <w:rsid w:val="007C77A5"/>
    <w:rsid w:val="007D04E5"/>
    <w:rsid w:val="007D428F"/>
    <w:rsid w:val="007D5901"/>
    <w:rsid w:val="007D70E1"/>
    <w:rsid w:val="007D7526"/>
    <w:rsid w:val="007D7912"/>
    <w:rsid w:val="007E030D"/>
    <w:rsid w:val="007E34F9"/>
    <w:rsid w:val="007E3F78"/>
    <w:rsid w:val="007E42C4"/>
    <w:rsid w:val="007E4610"/>
    <w:rsid w:val="007E4715"/>
    <w:rsid w:val="007E505B"/>
    <w:rsid w:val="007E7091"/>
    <w:rsid w:val="007F15F2"/>
    <w:rsid w:val="007F7DF6"/>
    <w:rsid w:val="00803FAE"/>
    <w:rsid w:val="0080605F"/>
    <w:rsid w:val="00806953"/>
    <w:rsid w:val="00807786"/>
    <w:rsid w:val="0081025C"/>
    <w:rsid w:val="00811FCB"/>
    <w:rsid w:val="00813E6C"/>
    <w:rsid w:val="00814149"/>
    <w:rsid w:val="008158D6"/>
    <w:rsid w:val="00817196"/>
    <w:rsid w:val="008174AD"/>
    <w:rsid w:val="00820191"/>
    <w:rsid w:val="00821B43"/>
    <w:rsid w:val="00822BBF"/>
    <w:rsid w:val="008235DB"/>
    <w:rsid w:val="00824AB4"/>
    <w:rsid w:val="00825C42"/>
    <w:rsid w:val="00825CB9"/>
    <w:rsid w:val="00825D25"/>
    <w:rsid w:val="008261AE"/>
    <w:rsid w:val="00826BD5"/>
    <w:rsid w:val="00826D9C"/>
    <w:rsid w:val="00827D6F"/>
    <w:rsid w:val="008368E7"/>
    <w:rsid w:val="008376AC"/>
    <w:rsid w:val="008444E8"/>
    <w:rsid w:val="00844E80"/>
    <w:rsid w:val="00845FDE"/>
    <w:rsid w:val="00846F0E"/>
    <w:rsid w:val="00846FE7"/>
    <w:rsid w:val="00851033"/>
    <w:rsid w:val="008515D8"/>
    <w:rsid w:val="00851E84"/>
    <w:rsid w:val="00852081"/>
    <w:rsid w:val="00854E47"/>
    <w:rsid w:val="00856147"/>
    <w:rsid w:val="00856911"/>
    <w:rsid w:val="00865FC1"/>
    <w:rsid w:val="00866819"/>
    <w:rsid w:val="008677FD"/>
    <w:rsid w:val="008706D4"/>
    <w:rsid w:val="00870F8A"/>
    <w:rsid w:val="008719A4"/>
    <w:rsid w:val="00871D23"/>
    <w:rsid w:val="00874312"/>
    <w:rsid w:val="0087437C"/>
    <w:rsid w:val="00874EC4"/>
    <w:rsid w:val="00875CD7"/>
    <w:rsid w:val="00876B4D"/>
    <w:rsid w:val="00877F18"/>
    <w:rsid w:val="00880E6A"/>
    <w:rsid w:val="00891822"/>
    <w:rsid w:val="00892076"/>
    <w:rsid w:val="00893E13"/>
    <w:rsid w:val="008941E3"/>
    <w:rsid w:val="00894A7D"/>
    <w:rsid w:val="00894A88"/>
    <w:rsid w:val="00895386"/>
    <w:rsid w:val="008A1D4A"/>
    <w:rsid w:val="008A21FF"/>
    <w:rsid w:val="008A2CE2"/>
    <w:rsid w:val="008A30AC"/>
    <w:rsid w:val="008A44B8"/>
    <w:rsid w:val="008A5115"/>
    <w:rsid w:val="008A51A8"/>
    <w:rsid w:val="008A54C7"/>
    <w:rsid w:val="008A6315"/>
    <w:rsid w:val="008A77D8"/>
    <w:rsid w:val="008A78F7"/>
    <w:rsid w:val="008B0289"/>
    <w:rsid w:val="008B0483"/>
    <w:rsid w:val="008B120C"/>
    <w:rsid w:val="008B1296"/>
    <w:rsid w:val="008B3EC7"/>
    <w:rsid w:val="008B4C94"/>
    <w:rsid w:val="008B51A0"/>
    <w:rsid w:val="008B592A"/>
    <w:rsid w:val="008B7B5C"/>
    <w:rsid w:val="008C05F4"/>
    <w:rsid w:val="008C0C99"/>
    <w:rsid w:val="008C2017"/>
    <w:rsid w:val="008C2577"/>
    <w:rsid w:val="008C4958"/>
    <w:rsid w:val="008C4BAA"/>
    <w:rsid w:val="008C5C8E"/>
    <w:rsid w:val="008C6AE8"/>
    <w:rsid w:val="008C6D19"/>
    <w:rsid w:val="008C7573"/>
    <w:rsid w:val="008D00A5"/>
    <w:rsid w:val="008D34F1"/>
    <w:rsid w:val="008D384E"/>
    <w:rsid w:val="008D39D8"/>
    <w:rsid w:val="008D6D1A"/>
    <w:rsid w:val="008E065E"/>
    <w:rsid w:val="008E0927"/>
    <w:rsid w:val="008E0CEB"/>
    <w:rsid w:val="008E0D80"/>
    <w:rsid w:val="008E1909"/>
    <w:rsid w:val="008E4BB7"/>
    <w:rsid w:val="008F1C4E"/>
    <w:rsid w:val="008F1EAB"/>
    <w:rsid w:val="008F33DC"/>
    <w:rsid w:val="008F3F25"/>
    <w:rsid w:val="008F477F"/>
    <w:rsid w:val="00901883"/>
    <w:rsid w:val="00902350"/>
    <w:rsid w:val="0090336B"/>
    <w:rsid w:val="00904587"/>
    <w:rsid w:val="00904EC5"/>
    <w:rsid w:val="009053AA"/>
    <w:rsid w:val="00905FD4"/>
    <w:rsid w:val="00906939"/>
    <w:rsid w:val="00910B7D"/>
    <w:rsid w:val="00910D0F"/>
    <w:rsid w:val="00911DFB"/>
    <w:rsid w:val="00912602"/>
    <w:rsid w:val="009139D9"/>
    <w:rsid w:val="00914AD8"/>
    <w:rsid w:val="00916079"/>
    <w:rsid w:val="00917CE9"/>
    <w:rsid w:val="0092075B"/>
    <w:rsid w:val="00920BF2"/>
    <w:rsid w:val="00922010"/>
    <w:rsid w:val="00931BD9"/>
    <w:rsid w:val="009324AC"/>
    <w:rsid w:val="00933894"/>
    <w:rsid w:val="009362CF"/>
    <w:rsid w:val="009368F3"/>
    <w:rsid w:val="00941636"/>
    <w:rsid w:val="0094222B"/>
    <w:rsid w:val="00943742"/>
    <w:rsid w:val="009444AF"/>
    <w:rsid w:val="00945C05"/>
    <w:rsid w:val="0094666A"/>
    <w:rsid w:val="00946945"/>
    <w:rsid w:val="00946DF7"/>
    <w:rsid w:val="009471F7"/>
    <w:rsid w:val="00947713"/>
    <w:rsid w:val="00950DE7"/>
    <w:rsid w:val="009523D9"/>
    <w:rsid w:val="00953920"/>
    <w:rsid w:val="00953D47"/>
    <w:rsid w:val="0095609D"/>
    <w:rsid w:val="009567A3"/>
    <w:rsid w:val="009567D6"/>
    <w:rsid w:val="0095681E"/>
    <w:rsid w:val="00956B9D"/>
    <w:rsid w:val="009572D4"/>
    <w:rsid w:val="00957F83"/>
    <w:rsid w:val="00961921"/>
    <w:rsid w:val="00961DAD"/>
    <w:rsid w:val="009629B5"/>
    <w:rsid w:val="009632DF"/>
    <w:rsid w:val="009640DF"/>
    <w:rsid w:val="0096430A"/>
    <w:rsid w:val="0096554B"/>
    <w:rsid w:val="0096584A"/>
    <w:rsid w:val="00971F08"/>
    <w:rsid w:val="00973F34"/>
    <w:rsid w:val="0097603D"/>
    <w:rsid w:val="00976949"/>
    <w:rsid w:val="00980477"/>
    <w:rsid w:val="0098086A"/>
    <w:rsid w:val="00985253"/>
    <w:rsid w:val="009853B3"/>
    <w:rsid w:val="00985C2B"/>
    <w:rsid w:val="00986465"/>
    <w:rsid w:val="00990630"/>
    <w:rsid w:val="00991686"/>
    <w:rsid w:val="00991761"/>
    <w:rsid w:val="009933A5"/>
    <w:rsid w:val="00994930"/>
    <w:rsid w:val="00994DCA"/>
    <w:rsid w:val="0099546A"/>
    <w:rsid w:val="009960EC"/>
    <w:rsid w:val="009970DD"/>
    <w:rsid w:val="009A0FBA"/>
    <w:rsid w:val="009A1601"/>
    <w:rsid w:val="009A3BB6"/>
    <w:rsid w:val="009A462D"/>
    <w:rsid w:val="009A581E"/>
    <w:rsid w:val="009A5CBA"/>
    <w:rsid w:val="009A5FE5"/>
    <w:rsid w:val="009B039A"/>
    <w:rsid w:val="009B1531"/>
    <w:rsid w:val="009B1C66"/>
    <w:rsid w:val="009B1F30"/>
    <w:rsid w:val="009B2D31"/>
    <w:rsid w:val="009B30D4"/>
    <w:rsid w:val="009B36DE"/>
    <w:rsid w:val="009B3AC2"/>
    <w:rsid w:val="009B3F88"/>
    <w:rsid w:val="009B4DF4"/>
    <w:rsid w:val="009B564E"/>
    <w:rsid w:val="009B7E87"/>
    <w:rsid w:val="009C0169"/>
    <w:rsid w:val="009C2634"/>
    <w:rsid w:val="009C403E"/>
    <w:rsid w:val="009C422F"/>
    <w:rsid w:val="009D4FF0"/>
    <w:rsid w:val="009D703C"/>
    <w:rsid w:val="009D718F"/>
    <w:rsid w:val="009E068F"/>
    <w:rsid w:val="009E14E0"/>
    <w:rsid w:val="009E35DB"/>
    <w:rsid w:val="009E47A3"/>
    <w:rsid w:val="009F08F3"/>
    <w:rsid w:val="009F28F1"/>
    <w:rsid w:val="009F344F"/>
    <w:rsid w:val="009F4EAF"/>
    <w:rsid w:val="009F5D33"/>
    <w:rsid w:val="00A00296"/>
    <w:rsid w:val="00A02A4C"/>
    <w:rsid w:val="00A031D8"/>
    <w:rsid w:val="00A048A8"/>
    <w:rsid w:val="00A04F49"/>
    <w:rsid w:val="00A10D15"/>
    <w:rsid w:val="00A13E54"/>
    <w:rsid w:val="00A17F63"/>
    <w:rsid w:val="00A2193B"/>
    <w:rsid w:val="00A21BA3"/>
    <w:rsid w:val="00A2351A"/>
    <w:rsid w:val="00A2391D"/>
    <w:rsid w:val="00A24FD5"/>
    <w:rsid w:val="00A25E88"/>
    <w:rsid w:val="00A264A9"/>
    <w:rsid w:val="00A26DCF"/>
    <w:rsid w:val="00A271CD"/>
    <w:rsid w:val="00A27785"/>
    <w:rsid w:val="00A30187"/>
    <w:rsid w:val="00A33D3D"/>
    <w:rsid w:val="00A3448A"/>
    <w:rsid w:val="00A347DA"/>
    <w:rsid w:val="00A36297"/>
    <w:rsid w:val="00A40BDB"/>
    <w:rsid w:val="00A41E2B"/>
    <w:rsid w:val="00A45B74"/>
    <w:rsid w:val="00A522B1"/>
    <w:rsid w:val="00A52E1D"/>
    <w:rsid w:val="00A53384"/>
    <w:rsid w:val="00A55ED1"/>
    <w:rsid w:val="00A5648C"/>
    <w:rsid w:val="00A61499"/>
    <w:rsid w:val="00A62A77"/>
    <w:rsid w:val="00A62D21"/>
    <w:rsid w:val="00A63200"/>
    <w:rsid w:val="00A63483"/>
    <w:rsid w:val="00A643F0"/>
    <w:rsid w:val="00A657D7"/>
    <w:rsid w:val="00A65B17"/>
    <w:rsid w:val="00A660AC"/>
    <w:rsid w:val="00A661E9"/>
    <w:rsid w:val="00A67E6C"/>
    <w:rsid w:val="00A711F0"/>
    <w:rsid w:val="00A71595"/>
    <w:rsid w:val="00A71B99"/>
    <w:rsid w:val="00A72C4C"/>
    <w:rsid w:val="00A739D0"/>
    <w:rsid w:val="00A73AE8"/>
    <w:rsid w:val="00A742B8"/>
    <w:rsid w:val="00A761D4"/>
    <w:rsid w:val="00A77EC4"/>
    <w:rsid w:val="00A8162E"/>
    <w:rsid w:val="00A85C11"/>
    <w:rsid w:val="00A902CE"/>
    <w:rsid w:val="00A92879"/>
    <w:rsid w:val="00A9442A"/>
    <w:rsid w:val="00A96488"/>
    <w:rsid w:val="00AA016F"/>
    <w:rsid w:val="00AA0E14"/>
    <w:rsid w:val="00AA1ED6"/>
    <w:rsid w:val="00AA51D6"/>
    <w:rsid w:val="00AA56E1"/>
    <w:rsid w:val="00AA6333"/>
    <w:rsid w:val="00AB0BC8"/>
    <w:rsid w:val="00AB11CA"/>
    <w:rsid w:val="00AB14D9"/>
    <w:rsid w:val="00AB4AB8"/>
    <w:rsid w:val="00AB655E"/>
    <w:rsid w:val="00AB6AB1"/>
    <w:rsid w:val="00AC007F"/>
    <w:rsid w:val="00AC1AE3"/>
    <w:rsid w:val="00AC1F1E"/>
    <w:rsid w:val="00AC2ECD"/>
    <w:rsid w:val="00AC30C6"/>
    <w:rsid w:val="00AC3119"/>
    <w:rsid w:val="00AC49FB"/>
    <w:rsid w:val="00AC5A10"/>
    <w:rsid w:val="00AD08EC"/>
    <w:rsid w:val="00AD0AA3"/>
    <w:rsid w:val="00AD2ED0"/>
    <w:rsid w:val="00AD2FB3"/>
    <w:rsid w:val="00AD3F94"/>
    <w:rsid w:val="00AD4A5A"/>
    <w:rsid w:val="00AD5A22"/>
    <w:rsid w:val="00AD7C09"/>
    <w:rsid w:val="00AE0F6C"/>
    <w:rsid w:val="00AE27AC"/>
    <w:rsid w:val="00AE2BB5"/>
    <w:rsid w:val="00AE40E0"/>
    <w:rsid w:val="00AE42D4"/>
    <w:rsid w:val="00AE4DBA"/>
    <w:rsid w:val="00AE4F07"/>
    <w:rsid w:val="00AF038B"/>
    <w:rsid w:val="00AF0CF7"/>
    <w:rsid w:val="00AF1C5D"/>
    <w:rsid w:val="00AF4120"/>
    <w:rsid w:val="00AF42D7"/>
    <w:rsid w:val="00AF466C"/>
    <w:rsid w:val="00AF7929"/>
    <w:rsid w:val="00B006FE"/>
    <w:rsid w:val="00B007CB"/>
    <w:rsid w:val="00B00E95"/>
    <w:rsid w:val="00B027A3"/>
    <w:rsid w:val="00B02AA9"/>
    <w:rsid w:val="00B02FA3"/>
    <w:rsid w:val="00B03B58"/>
    <w:rsid w:val="00B03CE9"/>
    <w:rsid w:val="00B040FB"/>
    <w:rsid w:val="00B05084"/>
    <w:rsid w:val="00B11F13"/>
    <w:rsid w:val="00B12391"/>
    <w:rsid w:val="00B13959"/>
    <w:rsid w:val="00B157F9"/>
    <w:rsid w:val="00B16249"/>
    <w:rsid w:val="00B17189"/>
    <w:rsid w:val="00B17551"/>
    <w:rsid w:val="00B20256"/>
    <w:rsid w:val="00B20D09"/>
    <w:rsid w:val="00B22A3D"/>
    <w:rsid w:val="00B2486E"/>
    <w:rsid w:val="00B24CD5"/>
    <w:rsid w:val="00B264BC"/>
    <w:rsid w:val="00B2763F"/>
    <w:rsid w:val="00B27776"/>
    <w:rsid w:val="00B27AAC"/>
    <w:rsid w:val="00B27E9C"/>
    <w:rsid w:val="00B30929"/>
    <w:rsid w:val="00B321BD"/>
    <w:rsid w:val="00B347CF"/>
    <w:rsid w:val="00B3587A"/>
    <w:rsid w:val="00B372AA"/>
    <w:rsid w:val="00B40445"/>
    <w:rsid w:val="00B409E0"/>
    <w:rsid w:val="00B41888"/>
    <w:rsid w:val="00B42314"/>
    <w:rsid w:val="00B45A52"/>
    <w:rsid w:val="00B46175"/>
    <w:rsid w:val="00B513D1"/>
    <w:rsid w:val="00B548B7"/>
    <w:rsid w:val="00B567AE"/>
    <w:rsid w:val="00B6399E"/>
    <w:rsid w:val="00B63C98"/>
    <w:rsid w:val="00B6594E"/>
    <w:rsid w:val="00B664C7"/>
    <w:rsid w:val="00B670C2"/>
    <w:rsid w:val="00B713D8"/>
    <w:rsid w:val="00B73261"/>
    <w:rsid w:val="00B739F6"/>
    <w:rsid w:val="00B77785"/>
    <w:rsid w:val="00B80F8D"/>
    <w:rsid w:val="00B81A6C"/>
    <w:rsid w:val="00B82756"/>
    <w:rsid w:val="00B85DE5"/>
    <w:rsid w:val="00B8686D"/>
    <w:rsid w:val="00B909A3"/>
    <w:rsid w:val="00B90F73"/>
    <w:rsid w:val="00B93519"/>
    <w:rsid w:val="00B93B59"/>
    <w:rsid w:val="00B9406A"/>
    <w:rsid w:val="00B95350"/>
    <w:rsid w:val="00BA0BBF"/>
    <w:rsid w:val="00BA2280"/>
    <w:rsid w:val="00BA2A08"/>
    <w:rsid w:val="00BA56D2"/>
    <w:rsid w:val="00BA76E0"/>
    <w:rsid w:val="00BA7885"/>
    <w:rsid w:val="00BB2A25"/>
    <w:rsid w:val="00BB51E9"/>
    <w:rsid w:val="00BB7168"/>
    <w:rsid w:val="00BC09E1"/>
    <w:rsid w:val="00BC0FDC"/>
    <w:rsid w:val="00BC17F1"/>
    <w:rsid w:val="00BC27B7"/>
    <w:rsid w:val="00BC3053"/>
    <w:rsid w:val="00BC4D2E"/>
    <w:rsid w:val="00BD02E9"/>
    <w:rsid w:val="00BD073C"/>
    <w:rsid w:val="00BD48AC"/>
    <w:rsid w:val="00BD5E2B"/>
    <w:rsid w:val="00BD5F1A"/>
    <w:rsid w:val="00BD7CF7"/>
    <w:rsid w:val="00BE1234"/>
    <w:rsid w:val="00BE2FA6"/>
    <w:rsid w:val="00BE333F"/>
    <w:rsid w:val="00BE3AF0"/>
    <w:rsid w:val="00BE5242"/>
    <w:rsid w:val="00BE54EF"/>
    <w:rsid w:val="00BE7406"/>
    <w:rsid w:val="00BE7603"/>
    <w:rsid w:val="00BE7C04"/>
    <w:rsid w:val="00BF206C"/>
    <w:rsid w:val="00BF3279"/>
    <w:rsid w:val="00BF48CA"/>
    <w:rsid w:val="00BF74C7"/>
    <w:rsid w:val="00C015F1"/>
    <w:rsid w:val="00C01E70"/>
    <w:rsid w:val="00C01F33"/>
    <w:rsid w:val="00C02CC6"/>
    <w:rsid w:val="00C040F7"/>
    <w:rsid w:val="00C044AB"/>
    <w:rsid w:val="00C0511F"/>
    <w:rsid w:val="00C052C9"/>
    <w:rsid w:val="00C05706"/>
    <w:rsid w:val="00C069AF"/>
    <w:rsid w:val="00C07377"/>
    <w:rsid w:val="00C10478"/>
    <w:rsid w:val="00C111C3"/>
    <w:rsid w:val="00C12107"/>
    <w:rsid w:val="00C14D4B"/>
    <w:rsid w:val="00C154BB"/>
    <w:rsid w:val="00C21316"/>
    <w:rsid w:val="00C21520"/>
    <w:rsid w:val="00C2522D"/>
    <w:rsid w:val="00C279B5"/>
    <w:rsid w:val="00C27C45"/>
    <w:rsid w:val="00C3019E"/>
    <w:rsid w:val="00C31BF1"/>
    <w:rsid w:val="00C3719D"/>
    <w:rsid w:val="00C37CB2"/>
    <w:rsid w:val="00C428B0"/>
    <w:rsid w:val="00C44869"/>
    <w:rsid w:val="00C46C10"/>
    <w:rsid w:val="00C473A5"/>
    <w:rsid w:val="00C47527"/>
    <w:rsid w:val="00C51D43"/>
    <w:rsid w:val="00C525CD"/>
    <w:rsid w:val="00C53CFE"/>
    <w:rsid w:val="00C54995"/>
    <w:rsid w:val="00C54D41"/>
    <w:rsid w:val="00C55996"/>
    <w:rsid w:val="00C55D64"/>
    <w:rsid w:val="00C56C8C"/>
    <w:rsid w:val="00C57849"/>
    <w:rsid w:val="00C60783"/>
    <w:rsid w:val="00C621A2"/>
    <w:rsid w:val="00C64672"/>
    <w:rsid w:val="00C650A8"/>
    <w:rsid w:val="00C67307"/>
    <w:rsid w:val="00C70697"/>
    <w:rsid w:val="00C71A78"/>
    <w:rsid w:val="00C72093"/>
    <w:rsid w:val="00C72EF4"/>
    <w:rsid w:val="00C732A5"/>
    <w:rsid w:val="00C744FE"/>
    <w:rsid w:val="00C75D2F"/>
    <w:rsid w:val="00C767BE"/>
    <w:rsid w:val="00C76E3C"/>
    <w:rsid w:val="00C81568"/>
    <w:rsid w:val="00C8567B"/>
    <w:rsid w:val="00C9027A"/>
    <w:rsid w:val="00C9068E"/>
    <w:rsid w:val="00C93814"/>
    <w:rsid w:val="00C93C4B"/>
    <w:rsid w:val="00C944AB"/>
    <w:rsid w:val="00C95B40"/>
    <w:rsid w:val="00CA14D1"/>
    <w:rsid w:val="00CA188F"/>
    <w:rsid w:val="00CA1DD6"/>
    <w:rsid w:val="00CA1ED8"/>
    <w:rsid w:val="00CB1F63"/>
    <w:rsid w:val="00CB7170"/>
    <w:rsid w:val="00CC021E"/>
    <w:rsid w:val="00CC040E"/>
    <w:rsid w:val="00CC077E"/>
    <w:rsid w:val="00CC111F"/>
    <w:rsid w:val="00CC2011"/>
    <w:rsid w:val="00CC3BC8"/>
    <w:rsid w:val="00CC3EA0"/>
    <w:rsid w:val="00CC5D30"/>
    <w:rsid w:val="00CC701F"/>
    <w:rsid w:val="00CC7B45"/>
    <w:rsid w:val="00CD02FC"/>
    <w:rsid w:val="00CD0CCA"/>
    <w:rsid w:val="00CD1188"/>
    <w:rsid w:val="00CD1400"/>
    <w:rsid w:val="00CD1B24"/>
    <w:rsid w:val="00CD2ED1"/>
    <w:rsid w:val="00CD337B"/>
    <w:rsid w:val="00CD53D7"/>
    <w:rsid w:val="00CD5E17"/>
    <w:rsid w:val="00CD64D4"/>
    <w:rsid w:val="00CE0424"/>
    <w:rsid w:val="00CE2294"/>
    <w:rsid w:val="00CE6145"/>
    <w:rsid w:val="00CE7561"/>
    <w:rsid w:val="00CF039B"/>
    <w:rsid w:val="00CF1354"/>
    <w:rsid w:val="00CF1500"/>
    <w:rsid w:val="00CF2426"/>
    <w:rsid w:val="00CF278E"/>
    <w:rsid w:val="00CF3B1F"/>
    <w:rsid w:val="00CF3BF6"/>
    <w:rsid w:val="00CF625B"/>
    <w:rsid w:val="00CF687E"/>
    <w:rsid w:val="00CF6B9E"/>
    <w:rsid w:val="00D02AD3"/>
    <w:rsid w:val="00D0349B"/>
    <w:rsid w:val="00D04EF9"/>
    <w:rsid w:val="00D07791"/>
    <w:rsid w:val="00D10249"/>
    <w:rsid w:val="00D115C3"/>
    <w:rsid w:val="00D11897"/>
    <w:rsid w:val="00D12CB3"/>
    <w:rsid w:val="00D13135"/>
    <w:rsid w:val="00D13E4E"/>
    <w:rsid w:val="00D239A7"/>
    <w:rsid w:val="00D23F47"/>
    <w:rsid w:val="00D273E3"/>
    <w:rsid w:val="00D32133"/>
    <w:rsid w:val="00D35487"/>
    <w:rsid w:val="00D3652F"/>
    <w:rsid w:val="00D36E71"/>
    <w:rsid w:val="00D37D87"/>
    <w:rsid w:val="00D40B23"/>
    <w:rsid w:val="00D40B33"/>
    <w:rsid w:val="00D40FAA"/>
    <w:rsid w:val="00D4318F"/>
    <w:rsid w:val="00D438BF"/>
    <w:rsid w:val="00D440F8"/>
    <w:rsid w:val="00D546FF"/>
    <w:rsid w:val="00D55AD5"/>
    <w:rsid w:val="00D576CA"/>
    <w:rsid w:val="00D61AF5"/>
    <w:rsid w:val="00D652B5"/>
    <w:rsid w:val="00D66155"/>
    <w:rsid w:val="00D708B0"/>
    <w:rsid w:val="00D74B59"/>
    <w:rsid w:val="00D76078"/>
    <w:rsid w:val="00D77A2A"/>
    <w:rsid w:val="00D77B1D"/>
    <w:rsid w:val="00D8021F"/>
    <w:rsid w:val="00D80383"/>
    <w:rsid w:val="00D804E8"/>
    <w:rsid w:val="00D823C6"/>
    <w:rsid w:val="00D8327F"/>
    <w:rsid w:val="00D83A7B"/>
    <w:rsid w:val="00D84BC2"/>
    <w:rsid w:val="00D8511F"/>
    <w:rsid w:val="00D86CA3"/>
    <w:rsid w:val="00D871CE"/>
    <w:rsid w:val="00D91948"/>
    <w:rsid w:val="00D9196D"/>
    <w:rsid w:val="00D92982"/>
    <w:rsid w:val="00DA2831"/>
    <w:rsid w:val="00DA305E"/>
    <w:rsid w:val="00DA36CB"/>
    <w:rsid w:val="00DA5417"/>
    <w:rsid w:val="00DA56E8"/>
    <w:rsid w:val="00DA7BCC"/>
    <w:rsid w:val="00DB0A9F"/>
    <w:rsid w:val="00DB0BD4"/>
    <w:rsid w:val="00DB29E3"/>
    <w:rsid w:val="00DB377D"/>
    <w:rsid w:val="00DC2D36"/>
    <w:rsid w:val="00DC53EF"/>
    <w:rsid w:val="00DC7285"/>
    <w:rsid w:val="00DD1BEF"/>
    <w:rsid w:val="00DD5551"/>
    <w:rsid w:val="00DD5EA1"/>
    <w:rsid w:val="00DE480E"/>
    <w:rsid w:val="00DE4ACA"/>
    <w:rsid w:val="00DE5608"/>
    <w:rsid w:val="00DE58D0"/>
    <w:rsid w:val="00DE654F"/>
    <w:rsid w:val="00DF0B6E"/>
    <w:rsid w:val="00DF15E0"/>
    <w:rsid w:val="00DF1DA6"/>
    <w:rsid w:val="00DF37A0"/>
    <w:rsid w:val="00DF50AA"/>
    <w:rsid w:val="00DF7C6C"/>
    <w:rsid w:val="00E0373D"/>
    <w:rsid w:val="00E03B8E"/>
    <w:rsid w:val="00E0428D"/>
    <w:rsid w:val="00E06703"/>
    <w:rsid w:val="00E110E7"/>
    <w:rsid w:val="00E11B20"/>
    <w:rsid w:val="00E16AE1"/>
    <w:rsid w:val="00E17C24"/>
    <w:rsid w:val="00E17FA2"/>
    <w:rsid w:val="00E22330"/>
    <w:rsid w:val="00E22A90"/>
    <w:rsid w:val="00E2383A"/>
    <w:rsid w:val="00E30B5A"/>
    <w:rsid w:val="00E3123D"/>
    <w:rsid w:val="00E31461"/>
    <w:rsid w:val="00E31852"/>
    <w:rsid w:val="00E31D43"/>
    <w:rsid w:val="00E322BE"/>
    <w:rsid w:val="00E32608"/>
    <w:rsid w:val="00E328C8"/>
    <w:rsid w:val="00E34188"/>
    <w:rsid w:val="00E34B6E"/>
    <w:rsid w:val="00E35559"/>
    <w:rsid w:val="00E35FB4"/>
    <w:rsid w:val="00E3723A"/>
    <w:rsid w:val="00E37860"/>
    <w:rsid w:val="00E446F1"/>
    <w:rsid w:val="00E46886"/>
    <w:rsid w:val="00E4736A"/>
    <w:rsid w:val="00E47AEF"/>
    <w:rsid w:val="00E53B75"/>
    <w:rsid w:val="00E53D26"/>
    <w:rsid w:val="00E54E3B"/>
    <w:rsid w:val="00E57565"/>
    <w:rsid w:val="00E57580"/>
    <w:rsid w:val="00E57ABB"/>
    <w:rsid w:val="00E63780"/>
    <w:rsid w:val="00E63838"/>
    <w:rsid w:val="00E64434"/>
    <w:rsid w:val="00E66CAB"/>
    <w:rsid w:val="00E67C51"/>
    <w:rsid w:val="00E72EFC"/>
    <w:rsid w:val="00E758EC"/>
    <w:rsid w:val="00E8234C"/>
    <w:rsid w:val="00E831A3"/>
    <w:rsid w:val="00E83AA9"/>
    <w:rsid w:val="00E85617"/>
    <w:rsid w:val="00E85928"/>
    <w:rsid w:val="00E8687C"/>
    <w:rsid w:val="00E87822"/>
    <w:rsid w:val="00E90395"/>
    <w:rsid w:val="00E90E49"/>
    <w:rsid w:val="00E917F9"/>
    <w:rsid w:val="00E92158"/>
    <w:rsid w:val="00E9291C"/>
    <w:rsid w:val="00E93FFE"/>
    <w:rsid w:val="00E94AA0"/>
    <w:rsid w:val="00E94F8A"/>
    <w:rsid w:val="00EA3303"/>
    <w:rsid w:val="00EA5254"/>
    <w:rsid w:val="00EA7A41"/>
    <w:rsid w:val="00EB077B"/>
    <w:rsid w:val="00EB4EA2"/>
    <w:rsid w:val="00EB6AB0"/>
    <w:rsid w:val="00EC24D5"/>
    <w:rsid w:val="00EC27C6"/>
    <w:rsid w:val="00EC3771"/>
    <w:rsid w:val="00EC4207"/>
    <w:rsid w:val="00EC50DA"/>
    <w:rsid w:val="00EC52EF"/>
    <w:rsid w:val="00EC5653"/>
    <w:rsid w:val="00EC71CE"/>
    <w:rsid w:val="00EC757C"/>
    <w:rsid w:val="00ED1006"/>
    <w:rsid w:val="00ED5B15"/>
    <w:rsid w:val="00ED6081"/>
    <w:rsid w:val="00ED67D5"/>
    <w:rsid w:val="00EE11D2"/>
    <w:rsid w:val="00EF18FE"/>
    <w:rsid w:val="00EF2B7F"/>
    <w:rsid w:val="00EF5787"/>
    <w:rsid w:val="00EF60D0"/>
    <w:rsid w:val="00F02ECF"/>
    <w:rsid w:val="00F0528D"/>
    <w:rsid w:val="00F06C67"/>
    <w:rsid w:val="00F06DFD"/>
    <w:rsid w:val="00F071D1"/>
    <w:rsid w:val="00F07533"/>
    <w:rsid w:val="00F10629"/>
    <w:rsid w:val="00F11504"/>
    <w:rsid w:val="00F116B3"/>
    <w:rsid w:val="00F15FA5"/>
    <w:rsid w:val="00F209B7"/>
    <w:rsid w:val="00F21C04"/>
    <w:rsid w:val="00F229E0"/>
    <w:rsid w:val="00F2376F"/>
    <w:rsid w:val="00F243D8"/>
    <w:rsid w:val="00F2477F"/>
    <w:rsid w:val="00F275AB"/>
    <w:rsid w:val="00F30828"/>
    <w:rsid w:val="00F313D6"/>
    <w:rsid w:val="00F340B3"/>
    <w:rsid w:val="00F358DF"/>
    <w:rsid w:val="00F40F0C"/>
    <w:rsid w:val="00F46378"/>
    <w:rsid w:val="00F4766C"/>
    <w:rsid w:val="00F5060E"/>
    <w:rsid w:val="00F507D1"/>
    <w:rsid w:val="00F519CE"/>
    <w:rsid w:val="00F51ADA"/>
    <w:rsid w:val="00F545BB"/>
    <w:rsid w:val="00F60203"/>
    <w:rsid w:val="00F607C5"/>
    <w:rsid w:val="00F60DEA"/>
    <w:rsid w:val="00F6302A"/>
    <w:rsid w:val="00F63950"/>
    <w:rsid w:val="00F64C2B"/>
    <w:rsid w:val="00F651BE"/>
    <w:rsid w:val="00F671E4"/>
    <w:rsid w:val="00F67F53"/>
    <w:rsid w:val="00F701F6"/>
    <w:rsid w:val="00F703BE"/>
    <w:rsid w:val="00F70FA1"/>
    <w:rsid w:val="00F71F69"/>
    <w:rsid w:val="00F72B72"/>
    <w:rsid w:val="00F7386D"/>
    <w:rsid w:val="00F74BB9"/>
    <w:rsid w:val="00F75582"/>
    <w:rsid w:val="00F76177"/>
    <w:rsid w:val="00F76EFA"/>
    <w:rsid w:val="00F77F48"/>
    <w:rsid w:val="00F804BE"/>
    <w:rsid w:val="00F817CE"/>
    <w:rsid w:val="00F817D4"/>
    <w:rsid w:val="00F82CF5"/>
    <w:rsid w:val="00F831B3"/>
    <w:rsid w:val="00F832D2"/>
    <w:rsid w:val="00F8456C"/>
    <w:rsid w:val="00F859D8"/>
    <w:rsid w:val="00F868F5"/>
    <w:rsid w:val="00F9056A"/>
    <w:rsid w:val="00F90F22"/>
    <w:rsid w:val="00F90F8D"/>
    <w:rsid w:val="00F9233D"/>
    <w:rsid w:val="00F92782"/>
    <w:rsid w:val="00F93021"/>
    <w:rsid w:val="00F93AA9"/>
    <w:rsid w:val="00F94F08"/>
    <w:rsid w:val="00F96985"/>
    <w:rsid w:val="00F97838"/>
    <w:rsid w:val="00F97DFA"/>
    <w:rsid w:val="00FA2BB3"/>
    <w:rsid w:val="00FA3007"/>
    <w:rsid w:val="00FA4F69"/>
    <w:rsid w:val="00FB41D8"/>
    <w:rsid w:val="00FB4C80"/>
    <w:rsid w:val="00FB66E5"/>
    <w:rsid w:val="00FB6A6A"/>
    <w:rsid w:val="00FC094D"/>
    <w:rsid w:val="00FC40F5"/>
    <w:rsid w:val="00FC4DF5"/>
    <w:rsid w:val="00FC7429"/>
    <w:rsid w:val="00FD07F6"/>
    <w:rsid w:val="00FD0F47"/>
    <w:rsid w:val="00FD1EC8"/>
    <w:rsid w:val="00FD47ED"/>
    <w:rsid w:val="00FD6B19"/>
    <w:rsid w:val="00FD74DB"/>
    <w:rsid w:val="00FD7660"/>
    <w:rsid w:val="00FE0655"/>
    <w:rsid w:val="00FE2365"/>
    <w:rsid w:val="00FE37D7"/>
    <w:rsid w:val="00FE4BA3"/>
    <w:rsid w:val="00FE4C7B"/>
    <w:rsid w:val="00FE7336"/>
    <w:rsid w:val="00FE787C"/>
    <w:rsid w:val="00FE795D"/>
    <w:rsid w:val="00FF2307"/>
    <w:rsid w:val="00FF3C6A"/>
    <w:rsid w:val="00FF3DE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1C0D02D0-7151-43B0-BA8C-8573197453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character" w:styleId="UnresolvedMention">
    <w:name w:val="Unresolved Mention"/>
    <w:basedOn w:val="DefaultParagraphFont"/>
    <w:uiPriority w:val="99"/>
    <w:semiHidden/>
    <w:unhideWhenUsed/>
    <w:rsid w:val="002352AB"/>
    <w:rPr>
      <w:color w:val="605E5C"/>
      <w:shd w:val="clear" w:color="auto" w:fill="E1DFDD"/>
    </w:rPr>
  </w:style>
  <w:style w:type="paragraph" w:styleId="Revision">
    <w:name w:val="Revision"/>
    <w:hidden/>
    <w:uiPriority w:val="99"/>
    <w:semiHidden/>
    <w:rsid w:val="002B71B0"/>
    <w:rPr>
      <w:rFonts w:ascii="Arial" w:eastAsiaTheme="minorHAnsi" w:hAnsi="Arial" w:cstheme="minorBidi"/>
      <w:szCs w:val="22"/>
      <w:lang w:val="en-US" w:eastAsia="en-US"/>
    </w:rPr>
  </w:style>
  <w:style w:type="character" w:customStyle="1" w:styleId="B1Zchn">
    <w:name w:val="B1 Zchn"/>
    <w:qFormat/>
    <w:locked/>
    <w:rsid w:val="006B52D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0801068">
      <w:bodyDiv w:val="1"/>
      <w:marLeft w:val="0"/>
      <w:marRight w:val="0"/>
      <w:marTop w:val="0"/>
      <w:marBottom w:val="0"/>
      <w:divBdr>
        <w:top w:val="none" w:sz="0" w:space="0" w:color="auto"/>
        <w:left w:val="none" w:sz="0" w:space="0" w:color="auto"/>
        <w:bottom w:val="none" w:sz="0" w:space="0" w:color="auto"/>
        <w:right w:val="none" w:sz="0" w:space="0" w:color="auto"/>
      </w:divBdr>
    </w:div>
    <w:div w:id="776561159">
      <w:bodyDiv w:val="1"/>
      <w:marLeft w:val="0"/>
      <w:marRight w:val="0"/>
      <w:marTop w:val="0"/>
      <w:marBottom w:val="0"/>
      <w:divBdr>
        <w:top w:val="none" w:sz="0" w:space="0" w:color="auto"/>
        <w:left w:val="none" w:sz="0" w:space="0" w:color="auto"/>
        <w:bottom w:val="none" w:sz="0" w:space="0" w:color="auto"/>
        <w:right w:val="none" w:sz="0" w:space="0" w:color="auto"/>
      </w:divBdr>
    </w:div>
    <w:div w:id="859667175">
      <w:bodyDiv w:val="1"/>
      <w:marLeft w:val="0"/>
      <w:marRight w:val="0"/>
      <w:marTop w:val="0"/>
      <w:marBottom w:val="0"/>
      <w:divBdr>
        <w:top w:val="none" w:sz="0" w:space="0" w:color="auto"/>
        <w:left w:val="none" w:sz="0" w:space="0" w:color="auto"/>
        <w:bottom w:val="none" w:sz="0" w:space="0" w:color="auto"/>
        <w:right w:val="none" w:sz="0" w:space="0" w:color="auto"/>
      </w:divBdr>
    </w:div>
    <w:div w:id="1770155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3gpp.org/ftp/tsg_ran/WG1_RL1/TSGR1_105-e/Docs/R1-2106213.zip"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93A020F-C79F-4126-A924-A5569F12E27A}">
  <ds:schemaRefs>
    <ds:schemaRef ds:uri="http://purl.org/dc/elements/1.1/"/>
    <ds:schemaRef ds:uri="http://schemas.microsoft.com/office/2006/metadata/properties"/>
    <ds:schemaRef ds:uri="9b239327-9e80-40e4-b1b7-4394fed77a33"/>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2f282d3b-eb4a-4b09-b61f-b9593442e286"/>
    <ds:schemaRef ds:uri="http://www.w3.org/XML/1998/namespace"/>
    <ds:schemaRef ds:uri="http://purl.org/dc/dcmitype/"/>
  </ds:schemaRefs>
</ds:datastoreItem>
</file>

<file path=customXml/itemProps2.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7108B01D-72A6-4A7C-9F06-3881FBD6F9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746</TotalTime>
  <Pages>12</Pages>
  <Words>4484</Words>
  <Characters>24163</Characters>
  <Application>Microsoft Office Word</Application>
  <DocSecurity>0</DocSecurity>
  <Lines>201</Lines>
  <Paragraphs>57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28590</CharactersWithSpaces>
  <SharedDoc>false</SharedDoc>
  <HLinks>
    <vt:vector size="138" baseType="variant">
      <vt:variant>
        <vt:i4>6881281</vt:i4>
      </vt:variant>
      <vt:variant>
        <vt:i4>140</vt:i4>
      </vt:variant>
      <vt:variant>
        <vt:i4>0</vt:i4>
      </vt:variant>
      <vt:variant>
        <vt:i4>5</vt:i4>
      </vt:variant>
      <vt:variant>
        <vt:lpwstr>https://www.3gpp.org/ftp/Specs/archive/38_series/38.840/38840-g00.zip</vt:lpwstr>
      </vt:variant>
      <vt:variant>
        <vt:lpwstr/>
      </vt:variant>
      <vt:variant>
        <vt:i4>1114216</vt:i4>
      </vt:variant>
      <vt:variant>
        <vt:i4>137</vt:i4>
      </vt:variant>
      <vt:variant>
        <vt:i4>0</vt:i4>
      </vt:variant>
      <vt:variant>
        <vt:i4>5</vt:i4>
      </vt:variant>
      <vt:variant>
        <vt:lpwstr>https://www.3gpp.org/ftp/tsg_ran/WG1_RL1/TSGR1_105-e/Docs/R1-2104179.zip</vt:lpwstr>
      </vt:variant>
      <vt:variant>
        <vt:lpwstr/>
      </vt:variant>
      <vt:variant>
        <vt:i4>6881373</vt:i4>
      </vt:variant>
      <vt:variant>
        <vt:i4>134</vt:i4>
      </vt:variant>
      <vt:variant>
        <vt:i4>0</vt:i4>
      </vt:variant>
      <vt:variant>
        <vt:i4>5</vt:i4>
      </vt:variant>
      <vt:variant>
        <vt:lpwstr>https://www.3gpp.org/ftp/TSG_RAN/TSG_RAN/TSGR_92e/Docs/RP-211574.zip</vt:lpwstr>
      </vt:variant>
      <vt:variant>
        <vt:lpwstr/>
      </vt:variant>
      <vt:variant>
        <vt:i4>6029371</vt:i4>
      </vt:variant>
      <vt:variant>
        <vt:i4>131</vt:i4>
      </vt:variant>
      <vt:variant>
        <vt:i4>0</vt:i4>
      </vt:variant>
      <vt:variant>
        <vt:i4>5</vt:i4>
      </vt:variant>
      <vt:variant>
        <vt:lpwstr>https://www.3gpp.org/ftp/tsg_ran/WG1_RL1/TSGR1_104b-e/Docs/R1-2106213.zip</vt:lpwstr>
      </vt:variant>
      <vt:variant>
        <vt:lpwstr/>
      </vt:variant>
      <vt:variant>
        <vt:i4>1048634</vt:i4>
      </vt:variant>
      <vt:variant>
        <vt:i4>127</vt:i4>
      </vt:variant>
      <vt:variant>
        <vt:i4>0</vt:i4>
      </vt:variant>
      <vt:variant>
        <vt:i4>5</vt:i4>
      </vt:variant>
      <vt:variant>
        <vt:lpwstr/>
      </vt:variant>
      <vt:variant>
        <vt:lpwstr>_Toc76976026</vt:lpwstr>
      </vt:variant>
      <vt:variant>
        <vt:i4>1245242</vt:i4>
      </vt:variant>
      <vt:variant>
        <vt:i4>124</vt:i4>
      </vt:variant>
      <vt:variant>
        <vt:i4>0</vt:i4>
      </vt:variant>
      <vt:variant>
        <vt:i4>5</vt:i4>
      </vt:variant>
      <vt:variant>
        <vt:lpwstr/>
      </vt:variant>
      <vt:variant>
        <vt:lpwstr>_Toc76976025</vt:lpwstr>
      </vt:variant>
      <vt:variant>
        <vt:i4>1179706</vt:i4>
      </vt:variant>
      <vt:variant>
        <vt:i4>121</vt:i4>
      </vt:variant>
      <vt:variant>
        <vt:i4>0</vt:i4>
      </vt:variant>
      <vt:variant>
        <vt:i4>5</vt:i4>
      </vt:variant>
      <vt:variant>
        <vt:lpwstr/>
      </vt:variant>
      <vt:variant>
        <vt:lpwstr>_Toc76976024</vt:lpwstr>
      </vt:variant>
      <vt:variant>
        <vt:i4>1376314</vt:i4>
      </vt:variant>
      <vt:variant>
        <vt:i4>118</vt:i4>
      </vt:variant>
      <vt:variant>
        <vt:i4>0</vt:i4>
      </vt:variant>
      <vt:variant>
        <vt:i4>5</vt:i4>
      </vt:variant>
      <vt:variant>
        <vt:lpwstr/>
      </vt:variant>
      <vt:variant>
        <vt:lpwstr>_Toc76976023</vt:lpwstr>
      </vt:variant>
      <vt:variant>
        <vt:i4>1310778</vt:i4>
      </vt:variant>
      <vt:variant>
        <vt:i4>115</vt:i4>
      </vt:variant>
      <vt:variant>
        <vt:i4>0</vt:i4>
      </vt:variant>
      <vt:variant>
        <vt:i4>5</vt:i4>
      </vt:variant>
      <vt:variant>
        <vt:lpwstr/>
      </vt:variant>
      <vt:variant>
        <vt:lpwstr>_Toc76976022</vt:lpwstr>
      </vt:variant>
      <vt:variant>
        <vt:i4>1507386</vt:i4>
      </vt:variant>
      <vt:variant>
        <vt:i4>112</vt:i4>
      </vt:variant>
      <vt:variant>
        <vt:i4>0</vt:i4>
      </vt:variant>
      <vt:variant>
        <vt:i4>5</vt:i4>
      </vt:variant>
      <vt:variant>
        <vt:lpwstr/>
      </vt:variant>
      <vt:variant>
        <vt:lpwstr>_Toc76976021</vt:lpwstr>
      </vt:variant>
      <vt:variant>
        <vt:i4>1441850</vt:i4>
      </vt:variant>
      <vt:variant>
        <vt:i4>109</vt:i4>
      </vt:variant>
      <vt:variant>
        <vt:i4>0</vt:i4>
      </vt:variant>
      <vt:variant>
        <vt:i4>5</vt:i4>
      </vt:variant>
      <vt:variant>
        <vt:lpwstr/>
      </vt:variant>
      <vt:variant>
        <vt:lpwstr>_Toc76976020</vt:lpwstr>
      </vt:variant>
      <vt:variant>
        <vt:i4>2031673</vt:i4>
      </vt:variant>
      <vt:variant>
        <vt:i4>106</vt:i4>
      </vt:variant>
      <vt:variant>
        <vt:i4>0</vt:i4>
      </vt:variant>
      <vt:variant>
        <vt:i4>5</vt:i4>
      </vt:variant>
      <vt:variant>
        <vt:lpwstr/>
      </vt:variant>
      <vt:variant>
        <vt:lpwstr>_Toc76976019</vt:lpwstr>
      </vt:variant>
      <vt:variant>
        <vt:i4>1966137</vt:i4>
      </vt:variant>
      <vt:variant>
        <vt:i4>103</vt:i4>
      </vt:variant>
      <vt:variant>
        <vt:i4>0</vt:i4>
      </vt:variant>
      <vt:variant>
        <vt:i4>5</vt:i4>
      </vt:variant>
      <vt:variant>
        <vt:lpwstr/>
      </vt:variant>
      <vt:variant>
        <vt:lpwstr>_Toc76976018</vt:lpwstr>
      </vt:variant>
      <vt:variant>
        <vt:i4>1114169</vt:i4>
      </vt:variant>
      <vt:variant>
        <vt:i4>100</vt:i4>
      </vt:variant>
      <vt:variant>
        <vt:i4>0</vt:i4>
      </vt:variant>
      <vt:variant>
        <vt:i4>5</vt:i4>
      </vt:variant>
      <vt:variant>
        <vt:lpwstr/>
      </vt:variant>
      <vt:variant>
        <vt:lpwstr>_Toc76976017</vt:lpwstr>
      </vt:variant>
      <vt:variant>
        <vt:i4>1048633</vt:i4>
      </vt:variant>
      <vt:variant>
        <vt:i4>94</vt:i4>
      </vt:variant>
      <vt:variant>
        <vt:i4>0</vt:i4>
      </vt:variant>
      <vt:variant>
        <vt:i4>5</vt:i4>
      </vt:variant>
      <vt:variant>
        <vt:lpwstr/>
      </vt:variant>
      <vt:variant>
        <vt:lpwstr>_Toc76976016</vt:lpwstr>
      </vt:variant>
      <vt:variant>
        <vt:i4>1245241</vt:i4>
      </vt:variant>
      <vt:variant>
        <vt:i4>91</vt:i4>
      </vt:variant>
      <vt:variant>
        <vt:i4>0</vt:i4>
      </vt:variant>
      <vt:variant>
        <vt:i4>5</vt:i4>
      </vt:variant>
      <vt:variant>
        <vt:lpwstr/>
      </vt:variant>
      <vt:variant>
        <vt:lpwstr>_Toc76976015</vt:lpwstr>
      </vt:variant>
      <vt:variant>
        <vt:i4>1179705</vt:i4>
      </vt:variant>
      <vt:variant>
        <vt:i4>88</vt:i4>
      </vt:variant>
      <vt:variant>
        <vt:i4>0</vt:i4>
      </vt:variant>
      <vt:variant>
        <vt:i4>5</vt:i4>
      </vt:variant>
      <vt:variant>
        <vt:lpwstr/>
      </vt:variant>
      <vt:variant>
        <vt:lpwstr>_Toc76976014</vt:lpwstr>
      </vt:variant>
      <vt:variant>
        <vt:i4>1376313</vt:i4>
      </vt:variant>
      <vt:variant>
        <vt:i4>85</vt:i4>
      </vt:variant>
      <vt:variant>
        <vt:i4>0</vt:i4>
      </vt:variant>
      <vt:variant>
        <vt:i4>5</vt:i4>
      </vt:variant>
      <vt:variant>
        <vt:lpwstr/>
      </vt:variant>
      <vt:variant>
        <vt:lpwstr>_Toc76976013</vt:lpwstr>
      </vt:variant>
      <vt:variant>
        <vt:i4>1310777</vt:i4>
      </vt:variant>
      <vt:variant>
        <vt:i4>82</vt:i4>
      </vt:variant>
      <vt:variant>
        <vt:i4>0</vt:i4>
      </vt:variant>
      <vt:variant>
        <vt:i4>5</vt:i4>
      </vt:variant>
      <vt:variant>
        <vt:lpwstr/>
      </vt:variant>
      <vt:variant>
        <vt:lpwstr>_Toc76976012</vt:lpwstr>
      </vt:variant>
      <vt:variant>
        <vt:i4>1507385</vt:i4>
      </vt:variant>
      <vt:variant>
        <vt:i4>79</vt:i4>
      </vt:variant>
      <vt:variant>
        <vt:i4>0</vt:i4>
      </vt:variant>
      <vt:variant>
        <vt:i4>5</vt:i4>
      </vt:variant>
      <vt:variant>
        <vt:lpwstr/>
      </vt:variant>
      <vt:variant>
        <vt:lpwstr>_Toc76976011</vt:lpwstr>
      </vt:variant>
      <vt:variant>
        <vt:i4>1441849</vt:i4>
      </vt:variant>
      <vt:variant>
        <vt:i4>76</vt:i4>
      </vt:variant>
      <vt:variant>
        <vt:i4>0</vt:i4>
      </vt:variant>
      <vt:variant>
        <vt:i4>5</vt:i4>
      </vt:variant>
      <vt:variant>
        <vt:lpwstr/>
      </vt:variant>
      <vt:variant>
        <vt:lpwstr>_Toc76976010</vt:lpwstr>
      </vt:variant>
      <vt:variant>
        <vt:i4>2031672</vt:i4>
      </vt:variant>
      <vt:variant>
        <vt:i4>73</vt:i4>
      </vt:variant>
      <vt:variant>
        <vt:i4>0</vt:i4>
      </vt:variant>
      <vt:variant>
        <vt:i4>5</vt:i4>
      </vt:variant>
      <vt:variant>
        <vt:lpwstr/>
      </vt:variant>
      <vt:variant>
        <vt:lpwstr>_Toc76976009</vt:lpwstr>
      </vt:variant>
      <vt:variant>
        <vt:i4>1966136</vt:i4>
      </vt:variant>
      <vt:variant>
        <vt:i4>70</vt:i4>
      </vt:variant>
      <vt:variant>
        <vt:i4>0</vt:i4>
      </vt:variant>
      <vt:variant>
        <vt:i4>5</vt:i4>
      </vt:variant>
      <vt:variant>
        <vt:lpwstr/>
      </vt:variant>
      <vt:variant>
        <vt:lpwstr>_Toc76976008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Eric Wang YP</cp:lastModifiedBy>
  <cp:revision>228</cp:revision>
  <cp:lastPrinted>2008-01-31T07:09:00Z</cp:lastPrinted>
  <dcterms:created xsi:type="dcterms:W3CDTF">2021-06-18T17:23:00Z</dcterms:created>
  <dcterms:modified xsi:type="dcterms:W3CDTF">2021-08-05T21:17:00Z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